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F7B1" w14:textId="298D0A40" w:rsidR="00404A79" w:rsidRPr="00F758FE" w:rsidRDefault="00404A79">
      <w:pPr>
        <w:rPr>
          <w:lang w:val="en-GB"/>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5940"/>
      </w:tblGrid>
      <w:tr w:rsidR="00404A79" w:rsidRPr="00F758FE" w14:paraId="4771BD52" w14:textId="77777777" w:rsidTr="00404A79">
        <w:tc>
          <w:tcPr>
            <w:tcW w:w="2435" w:type="dxa"/>
            <w:tcBorders>
              <w:right w:val="single" w:sz="4" w:space="0" w:color="auto"/>
            </w:tcBorders>
          </w:tcPr>
          <w:p w14:paraId="7208FC90" w14:textId="513E253D" w:rsidR="00404A79" w:rsidRPr="00F758FE" w:rsidRDefault="00404A79">
            <w:pPr>
              <w:rPr>
                <w:lang w:val="en-GB"/>
              </w:rPr>
            </w:pPr>
            <w:r w:rsidRPr="00F758FE">
              <w:rPr>
                <w:noProof/>
                <w:lang w:val="en-GB"/>
              </w:rPr>
              <w:drawing>
                <wp:inline distT="0" distB="0" distL="0" distR="0" wp14:anchorId="5827670E" wp14:editId="3BE08207">
                  <wp:extent cx="1138363" cy="787226"/>
                  <wp:effectExtent l="0" t="0" r="5080" b="0"/>
                  <wp:docPr id="942438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38979" name=""/>
                          <pic:cNvPicPr/>
                        </pic:nvPicPr>
                        <pic:blipFill>
                          <a:blip r:embed="rId7"/>
                          <a:stretch>
                            <a:fillRect/>
                          </a:stretch>
                        </pic:blipFill>
                        <pic:spPr>
                          <a:xfrm>
                            <a:off x="0" y="0"/>
                            <a:ext cx="1149572" cy="794978"/>
                          </a:xfrm>
                          <a:prstGeom prst="rect">
                            <a:avLst/>
                          </a:prstGeom>
                        </pic:spPr>
                      </pic:pic>
                    </a:graphicData>
                  </a:graphic>
                </wp:inline>
              </w:drawing>
            </w:r>
          </w:p>
        </w:tc>
        <w:tc>
          <w:tcPr>
            <w:tcW w:w="5940" w:type="dxa"/>
            <w:tcBorders>
              <w:left w:val="single" w:sz="4" w:space="0" w:color="auto"/>
            </w:tcBorders>
          </w:tcPr>
          <w:p w14:paraId="5DCE1E6A" w14:textId="1DC5A31E" w:rsidR="00404A79" w:rsidRPr="00F758FE" w:rsidRDefault="00404A79" w:rsidP="00404A79">
            <w:pPr>
              <w:ind w:left="578"/>
              <w:rPr>
                <w:lang w:val="en-GB"/>
              </w:rPr>
            </w:pPr>
            <w:r w:rsidRPr="00F758FE">
              <w:rPr>
                <w:noProof/>
                <w:lang w:val="en-GB"/>
              </w:rPr>
              <w:drawing>
                <wp:inline distT="0" distB="0" distL="0" distR="0" wp14:anchorId="420F6DB8" wp14:editId="370407C9">
                  <wp:extent cx="1311215" cy="768938"/>
                  <wp:effectExtent l="0" t="0" r="3810" b="0"/>
                  <wp:docPr id="1268957222" name="Picture 2" descr="Removed the credentials of three inspectors, KPMSHCK annuls the decisions  of Bujar Ejup from the Civil Aviation Authority - Telegrafi - Tele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moved the credentials of three inspectors, KPMSHCK annuls the decisions  of Bujar Ejup from the Civil Aviation Authority - Telegrafi - Telegraf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741" cy="780975"/>
                          </a:xfrm>
                          <a:prstGeom prst="rect">
                            <a:avLst/>
                          </a:prstGeom>
                          <a:noFill/>
                          <a:ln>
                            <a:noFill/>
                          </a:ln>
                        </pic:spPr>
                      </pic:pic>
                    </a:graphicData>
                  </a:graphic>
                </wp:inline>
              </w:drawing>
            </w:r>
          </w:p>
        </w:tc>
      </w:tr>
    </w:tbl>
    <w:p w14:paraId="5439C065" w14:textId="77777777" w:rsidR="00404A79" w:rsidRPr="00F758FE" w:rsidRDefault="00404A79">
      <w:pPr>
        <w:rPr>
          <w:lang w:val="en-GB"/>
        </w:rPr>
      </w:pPr>
    </w:p>
    <w:p w14:paraId="55AF9A8F" w14:textId="77777777" w:rsidR="003E002E" w:rsidRDefault="003E002E" w:rsidP="00404A79">
      <w:pPr>
        <w:jc w:val="right"/>
        <w:rPr>
          <w:lang w:val="en-GB"/>
        </w:rPr>
      </w:pPr>
      <w:r w:rsidRPr="003E002E">
        <w:rPr>
          <w:lang w:val="en-GB"/>
        </w:rPr>
        <w:t xml:space="preserve">Br. 15/ZDP/VE/2024. </w:t>
      </w:r>
    </w:p>
    <w:p w14:paraId="2E22ECB9" w14:textId="021AB572" w:rsidR="00404A79" w:rsidRPr="00F758FE" w:rsidRDefault="003E002E" w:rsidP="00404A79">
      <w:pPr>
        <w:jc w:val="right"/>
        <w:rPr>
          <w:lang w:val="en-GB"/>
        </w:rPr>
      </w:pPr>
      <w:r w:rsidRPr="003E002E">
        <w:rPr>
          <w:lang w:val="en-GB"/>
        </w:rPr>
        <w:t>13. decembar 2024.</w:t>
      </w:r>
    </w:p>
    <w:p w14:paraId="6405BE1A" w14:textId="77777777" w:rsidR="00404A79" w:rsidRPr="00F758FE" w:rsidRDefault="00404A79" w:rsidP="00404A79">
      <w:pPr>
        <w:jc w:val="right"/>
        <w:rPr>
          <w:lang w:val="en-GB"/>
        </w:rPr>
      </w:pPr>
    </w:p>
    <w:p w14:paraId="7024C8A8" w14:textId="77777777" w:rsidR="003E002E" w:rsidRDefault="003E002E" w:rsidP="003E002E">
      <w:pPr>
        <w:rPr>
          <w:lang w:val="en-GB"/>
        </w:rPr>
      </w:pPr>
      <w:r w:rsidRPr="003E002E">
        <w:rPr>
          <w:lang w:val="en-GB"/>
        </w:rPr>
        <w:t>U prilog člana 14.1, 15.1(f), 21.2 i 81. Zakona br. 03/L-051 o civilnom vazduhoplovstvu, izmenjen Zakonom br. 08/L-063 o izmeni i dopuni zakona koji se odnose na racionalizaciju i postavljanje linija odgovornosti nezavisnih agencija, člana 24. Zakona br. 06/L-l13 o organizaciji i funkcionisanju državne uprave i nezavisnih agencija, člana 20. Zakona br. 04/L-250 o agenciji za vazdušno navigacijske usluge i člana 13. i 15. Uredbe ACV-a br. 3/2016. o utvrđivanju zajedničke šeme tarifa za usluge vazdušne navigacije, da. 10. februara 2016. (“Uredba”),</w:t>
      </w:r>
    </w:p>
    <w:p w14:paraId="3F68A2B0" w14:textId="77777777" w:rsidR="003E002E" w:rsidRPr="003E002E" w:rsidRDefault="003E002E" w:rsidP="003E002E">
      <w:pPr>
        <w:rPr>
          <w:lang w:val="en-GB"/>
        </w:rPr>
      </w:pPr>
    </w:p>
    <w:p w14:paraId="4E32D070" w14:textId="77777777" w:rsidR="003E002E" w:rsidRDefault="003E002E" w:rsidP="003E002E">
      <w:pPr>
        <w:rPr>
          <w:lang w:val="en-GB"/>
        </w:rPr>
      </w:pPr>
      <w:r w:rsidRPr="003E002E">
        <w:rPr>
          <w:lang w:val="en-GB"/>
        </w:rPr>
        <w:t>Odlučujući prema konačnom predlogu Agencije za usluge vazdušne navigacije (“AUVN“), da. 8. novembra 2024., za tarifu terminalne jedinice za 2025. godinu,</w:t>
      </w:r>
    </w:p>
    <w:p w14:paraId="2EDE6AC8" w14:textId="77777777" w:rsidR="003E002E" w:rsidRPr="003E002E" w:rsidRDefault="003E002E" w:rsidP="003E002E">
      <w:pPr>
        <w:rPr>
          <w:lang w:val="en-GB"/>
        </w:rPr>
      </w:pPr>
    </w:p>
    <w:p w14:paraId="597A50C6" w14:textId="0E7338D3" w:rsidR="00984621" w:rsidRPr="00F758FE" w:rsidRDefault="003E002E" w:rsidP="003E002E">
      <w:pPr>
        <w:rPr>
          <w:lang w:val="en-GB"/>
        </w:rPr>
      </w:pPr>
      <w:r w:rsidRPr="003E002E">
        <w:rPr>
          <w:lang w:val="en-GB"/>
        </w:rPr>
        <w:t>Generalnom direktoru Autoriteta civilnog vazduhoplovstva Republike Kosova donosi ovu</w:t>
      </w:r>
      <w:r w:rsidR="00984621" w:rsidRPr="00F758FE">
        <w:rPr>
          <w:lang w:val="en-GB"/>
        </w:rPr>
        <w:t xml:space="preserve">: </w:t>
      </w:r>
    </w:p>
    <w:p w14:paraId="021FD154" w14:textId="77777777" w:rsidR="00984621" w:rsidRPr="00F758FE" w:rsidRDefault="00984621" w:rsidP="00404A79">
      <w:pPr>
        <w:rPr>
          <w:lang w:val="en-GB"/>
        </w:rPr>
      </w:pPr>
    </w:p>
    <w:p w14:paraId="4C86142E" w14:textId="77777777" w:rsidR="00984621" w:rsidRPr="00F758FE" w:rsidRDefault="00984621" w:rsidP="00404A79">
      <w:pPr>
        <w:rPr>
          <w:lang w:val="en-GB"/>
        </w:rPr>
      </w:pPr>
    </w:p>
    <w:p w14:paraId="5C77B94F" w14:textId="73BE95CE" w:rsidR="00984621" w:rsidRPr="00F758FE" w:rsidRDefault="003E002E" w:rsidP="00984621">
      <w:pPr>
        <w:jc w:val="center"/>
        <w:rPr>
          <w:b/>
          <w:bCs/>
          <w:lang w:val="en-GB"/>
        </w:rPr>
      </w:pPr>
      <w:r>
        <w:rPr>
          <w:b/>
          <w:bCs/>
          <w:lang w:val="en-GB"/>
        </w:rPr>
        <w:t>ODLUKU</w:t>
      </w:r>
      <w:r w:rsidR="00984621" w:rsidRPr="00F758FE">
        <w:rPr>
          <w:b/>
          <w:bCs/>
          <w:lang w:val="en-GB"/>
        </w:rPr>
        <w:t xml:space="preserve"> </w:t>
      </w:r>
    </w:p>
    <w:p w14:paraId="5CA2F962" w14:textId="77777777" w:rsidR="00984621" w:rsidRPr="00F758FE" w:rsidRDefault="00984621" w:rsidP="00984621">
      <w:pPr>
        <w:jc w:val="center"/>
        <w:rPr>
          <w:b/>
          <w:bCs/>
          <w:lang w:val="en-GB"/>
        </w:rPr>
      </w:pPr>
    </w:p>
    <w:p w14:paraId="2690A243" w14:textId="77777777" w:rsidR="003E002E" w:rsidRPr="003E002E" w:rsidRDefault="003E002E" w:rsidP="003E002E">
      <w:pPr>
        <w:pStyle w:val="ListParagraph"/>
        <w:numPr>
          <w:ilvl w:val="0"/>
          <w:numId w:val="1"/>
        </w:numPr>
        <w:rPr>
          <w:lang w:val="en-GB"/>
        </w:rPr>
      </w:pPr>
      <w:r w:rsidRPr="003E002E">
        <w:rPr>
          <w:lang w:val="en-GB"/>
        </w:rPr>
        <w:t>Odbija se usvajanje tarife za terminalnu jedinicu za 2025. od 361.82 EUR kao što je predloženo od AUVN dana 8. novembra 2024.</w:t>
      </w:r>
    </w:p>
    <w:p w14:paraId="15AD9DD0" w14:textId="77777777" w:rsidR="003E002E" w:rsidRPr="003E002E" w:rsidRDefault="003E002E" w:rsidP="003E002E">
      <w:pPr>
        <w:pStyle w:val="ListParagraph"/>
        <w:numPr>
          <w:ilvl w:val="0"/>
          <w:numId w:val="1"/>
        </w:numPr>
        <w:rPr>
          <w:lang w:val="en-GB"/>
        </w:rPr>
      </w:pPr>
      <w:r w:rsidRPr="003E002E">
        <w:rPr>
          <w:lang w:val="en-GB"/>
        </w:rPr>
        <w:t>Utvrđuje se tarifa za terminalnu jedinicu 2025. u Republici Kosova u vrednosti od 333 EUR.</w:t>
      </w:r>
    </w:p>
    <w:p w14:paraId="408BF440" w14:textId="77777777" w:rsidR="003E002E" w:rsidRPr="003E002E" w:rsidRDefault="003E002E" w:rsidP="003E002E">
      <w:pPr>
        <w:pStyle w:val="ListParagraph"/>
        <w:numPr>
          <w:ilvl w:val="0"/>
          <w:numId w:val="1"/>
        </w:numPr>
        <w:rPr>
          <w:lang w:val="en-GB"/>
        </w:rPr>
      </w:pPr>
      <w:r w:rsidRPr="003E002E">
        <w:rPr>
          <w:lang w:val="en-GB"/>
        </w:rPr>
        <w:t>Ova tarifa se naplaćuje vazdušnim kompanijama od AUVN za terminalne usluge vazdušne navigacije koje Agencija pruža u vazdušnom prostoru Republike Kosova počevši od dana 1. januara 2025.</w:t>
      </w:r>
    </w:p>
    <w:p w14:paraId="54262439" w14:textId="77777777" w:rsidR="003E002E" w:rsidRPr="003E002E" w:rsidRDefault="003E002E" w:rsidP="003E002E">
      <w:pPr>
        <w:pStyle w:val="ListParagraph"/>
        <w:numPr>
          <w:ilvl w:val="0"/>
          <w:numId w:val="1"/>
        </w:numPr>
        <w:rPr>
          <w:lang w:val="en-GB"/>
        </w:rPr>
      </w:pPr>
      <w:r w:rsidRPr="003E002E">
        <w:rPr>
          <w:lang w:val="en-GB"/>
        </w:rPr>
        <w:t>Obavezuje se AUVN da zatraži odobrenje od ACV-a za svaku izmenu u odobrenim kapitalnim projektima da bi se finansirali sa tarifom za terminalnu jedinicu za 2025.</w:t>
      </w:r>
    </w:p>
    <w:p w14:paraId="60DA143A" w14:textId="56488AE7" w:rsidR="00984621" w:rsidRPr="00F758FE" w:rsidRDefault="003E002E" w:rsidP="003E002E">
      <w:pPr>
        <w:pStyle w:val="ListParagraph"/>
        <w:numPr>
          <w:ilvl w:val="0"/>
          <w:numId w:val="1"/>
        </w:numPr>
        <w:rPr>
          <w:lang w:val="en-GB"/>
        </w:rPr>
      </w:pPr>
      <w:r w:rsidRPr="003E002E">
        <w:rPr>
          <w:lang w:val="en-GB"/>
        </w:rPr>
        <w:t>Ova Odluka stupa na snagu danom njenog potpisivanja</w:t>
      </w:r>
      <w:r w:rsidR="001108E8" w:rsidRPr="00F758FE">
        <w:rPr>
          <w:lang w:val="en-GB"/>
        </w:rPr>
        <w:t>.</w:t>
      </w:r>
    </w:p>
    <w:p w14:paraId="0F276463" w14:textId="77777777" w:rsidR="00010EA7" w:rsidRPr="00F758FE" w:rsidRDefault="00010EA7" w:rsidP="00010EA7">
      <w:pPr>
        <w:rPr>
          <w:lang w:val="en-GB"/>
        </w:rPr>
      </w:pPr>
    </w:p>
    <w:p w14:paraId="43A36195" w14:textId="77777777" w:rsidR="00010EA7" w:rsidRPr="00F758FE" w:rsidRDefault="00010EA7" w:rsidP="00010EA7">
      <w:pPr>
        <w:rPr>
          <w:lang w:val="en-GB"/>
        </w:rPr>
      </w:pPr>
    </w:p>
    <w:p w14:paraId="4AB924AD" w14:textId="14B70C97" w:rsidR="00010EA7" w:rsidRPr="00F758FE" w:rsidRDefault="003E002E" w:rsidP="00010EA7">
      <w:pPr>
        <w:jc w:val="center"/>
        <w:rPr>
          <w:b/>
          <w:bCs/>
          <w:lang w:val="en-GB"/>
        </w:rPr>
      </w:pPr>
      <w:r w:rsidRPr="003E002E">
        <w:rPr>
          <w:b/>
          <w:bCs/>
          <w:lang w:val="en-GB"/>
        </w:rPr>
        <w:t>OBRAZLOŽENJE</w:t>
      </w:r>
      <w:r w:rsidR="00010EA7" w:rsidRPr="00F758FE">
        <w:rPr>
          <w:b/>
          <w:bCs/>
          <w:lang w:val="en-GB"/>
        </w:rPr>
        <w:t xml:space="preserve"> </w:t>
      </w:r>
    </w:p>
    <w:p w14:paraId="4CF8A303" w14:textId="77777777" w:rsidR="00010EA7" w:rsidRPr="00F758FE" w:rsidRDefault="00010EA7" w:rsidP="00010EA7">
      <w:pPr>
        <w:jc w:val="center"/>
        <w:rPr>
          <w:b/>
          <w:bCs/>
          <w:lang w:val="en-GB"/>
        </w:rPr>
      </w:pPr>
    </w:p>
    <w:p w14:paraId="02F3691F" w14:textId="0B727CDB" w:rsidR="00010EA7" w:rsidRPr="00F758FE" w:rsidRDefault="003E002E" w:rsidP="00010EA7">
      <w:pPr>
        <w:rPr>
          <w:lang w:val="en-GB"/>
        </w:rPr>
      </w:pPr>
      <w:r w:rsidRPr="003E002E">
        <w:rPr>
          <w:lang w:val="en-GB"/>
        </w:rPr>
        <w:t>Sa ciljem procenjivanja predloga AUVN-a za utvrđivanje tarife za terminalnu jedinicu za 2025. godinu, ACV je uzela u obzir dokumentaciju kao u nastavku</w:t>
      </w:r>
      <w:r w:rsidR="00F758FE" w:rsidRPr="00F758FE">
        <w:rPr>
          <w:lang w:val="en-GB"/>
        </w:rPr>
        <w:t>:</w:t>
      </w:r>
    </w:p>
    <w:p w14:paraId="1E48D538" w14:textId="77777777" w:rsidR="00F758FE" w:rsidRPr="00F758FE" w:rsidRDefault="00F758FE" w:rsidP="00010EA7">
      <w:pPr>
        <w:rPr>
          <w:lang w:val="en-GB"/>
        </w:rPr>
      </w:pPr>
    </w:p>
    <w:p w14:paraId="04E57046" w14:textId="77777777" w:rsidR="003E002E" w:rsidRPr="003E002E" w:rsidRDefault="003E002E" w:rsidP="003E002E">
      <w:pPr>
        <w:pStyle w:val="ListParagraph"/>
        <w:numPr>
          <w:ilvl w:val="0"/>
          <w:numId w:val="3"/>
        </w:numPr>
        <w:rPr>
          <w:lang w:val="en-GB"/>
        </w:rPr>
      </w:pPr>
      <w:r w:rsidRPr="003E002E">
        <w:rPr>
          <w:lang w:val="en-GB"/>
        </w:rPr>
        <w:t>Finansijski izveštaji AUVN-a za 2023. godinu, da. 20. marta 2024.;</w:t>
      </w:r>
    </w:p>
    <w:p w14:paraId="7110E519" w14:textId="77777777" w:rsidR="003E002E" w:rsidRPr="003E002E" w:rsidRDefault="003E002E" w:rsidP="003E002E">
      <w:pPr>
        <w:pStyle w:val="ListParagraph"/>
        <w:numPr>
          <w:ilvl w:val="0"/>
          <w:numId w:val="3"/>
        </w:numPr>
        <w:rPr>
          <w:lang w:val="en-GB"/>
        </w:rPr>
      </w:pPr>
      <w:r w:rsidRPr="003E002E">
        <w:rPr>
          <w:lang w:val="en-GB"/>
        </w:rPr>
        <w:t>Dokumenti dostavljeni od AUVN tokom prvog izveštavanja (početni osnovni trošak za pružanje usluge u 2025. godini kroz tabele izveštavanja iz priloga II i VI Uredbe 3/2016.), da. 02. aprila 2024. sa brojem protokola 2024./ZDP/122;</w:t>
      </w:r>
    </w:p>
    <w:p w14:paraId="3031EEB6" w14:textId="77777777" w:rsidR="003E002E" w:rsidRPr="003E002E" w:rsidRDefault="003E002E" w:rsidP="003E002E">
      <w:pPr>
        <w:pStyle w:val="ListParagraph"/>
        <w:numPr>
          <w:ilvl w:val="0"/>
          <w:numId w:val="3"/>
        </w:numPr>
        <w:rPr>
          <w:lang w:val="en-GB"/>
        </w:rPr>
      </w:pPr>
      <w:r w:rsidRPr="003E002E">
        <w:rPr>
          <w:lang w:val="en-GB"/>
        </w:rPr>
        <w:lastRenderedPageBreak/>
        <w:t>Godišnji izveštaj o radu za 2023. godinu, da. 2. aprila 2024.;</w:t>
      </w:r>
    </w:p>
    <w:p w14:paraId="069F9510" w14:textId="77777777" w:rsidR="003E002E" w:rsidRPr="003E002E" w:rsidRDefault="003E002E" w:rsidP="003E002E">
      <w:pPr>
        <w:pStyle w:val="ListParagraph"/>
        <w:numPr>
          <w:ilvl w:val="0"/>
          <w:numId w:val="3"/>
        </w:numPr>
        <w:rPr>
          <w:lang w:val="en-GB"/>
        </w:rPr>
      </w:pPr>
      <w:r w:rsidRPr="003E002E">
        <w:rPr>
          <w:lang w:val="en-GB"/>
        </w:rPr>
        <w:t>Zaključci ACV-a sa zaključka regulatornog razmatranja prvog izveštavanja AUVN-a što se tiče jedinične tarife za 2025. godinu, koje su saopštene AVNU dana 13. juna 2024.;</w:t>
      </w:r>
    </w:p>
    <w:p w14:paraId="5A55348C" w14:textId="2677A48C" w:rsidR="003E002E" w:rsidRPr="003E002E" w:rsidRDefault="003E002E" w:rsidP="003E002E">
      <w:pPr>
        <w:pStyle w:val="ListParagraph"/>
        <w:numPr>
          <w:ilvl w:val="0"/>
          <w:numId w:val="3"/>
        </w:numPr>
        <w:rPr>
          <w:lang w:val="en-GB"/>
        </w:rPr>
      </w:pPr>
      <w:r w:rsidRPr="003E002E">
        <w:rPr>
          <w:lang w:val="en-GB"/>
        </w:rPr>
        <w:t>Izveštaj o finansijskim izveštajima AUVN-a da. 29. maja 2024. za finansijsku godinu završenu 31. decembra 2023. i Izveštaj Nacionalne kancelarije revizije objavljen u junu 2024. o finansijskim izveštajima AUVN-a za 2023. godinu;</w:t>
      </w:r>
    </w:p>
    <w:p w14:paraId="11CDCEF5" w14:textId="77777777" w:rsidR="003E002E" w:rsidRPr="003E002E" w:rsidRDefault="003E002E" w:rsidP="003E002E">
      <w:pPr>
        <w:pStyle w:val="ListParagraph"/>
        <w:numPr>
          <w:ilvl w:val="0"/>
          <w:numId w:val="3"/>
        </w:numPr>
        <w:rPr>
          <w:lang w:val="en-GB"/>
        </w:rPr>
      </w:pPr>
      <w:r w:rsidRPr="003E002E">
        <w:rPr>
          <w:lang w:val="en-GB"/>
        </w:rPr>
        <w:t>Dokumenti dostavljeni od AUVN tokom drugog izveštavanja (konačni osnovni trošak za pružanje usluge tokom 2025. godine kroz tabele izveštavanja iz priloga II i VI Uredbe), da. 12 septembra 2024. sa brojem protokola 2024/BNRREA/275;</w:t>
      </w:r>
    </w:p>
    <w:p w14:paraId="1F89364B" w14:textId="77777777" w:rsidR="003E002E" w:rsidRPr="003E002E" w:rsidRDefault="003E002E" w:rsidP="003E002E">
      <w:pPr>
        <w:pStyle w:val="ListParagraph"/>
        <w:numPr>
          <w:ilvl w:val="0"/>
          <w:numId w:val="3"/>
        </w:numPr>
        <w:rPr>
          <w:lang w:val="en-GB"/>
        </w:rPr>
      </w:pPr>
      <w:r w:rsidRPr="003E002E">
        <w:rPr>
          <w:lang w:val="en-GB"/>
        </w:rPr>
        <w:t>Dokument “Additional info for unit rate“ ažuriran od AUVN dana 19. septembra 2024.;</w:t>
      </w:r>
    </w:p>
    <w:p w14:paraId="6DF491F1" w14:textId="77777777" w:rsidR="003E002E" w:rsidRPr="003E002E" w:rsidRDefault="003E002E" w:rsidP="003E002E">
      <w:pPr>
        <w:pStyle w:val="ListParagraph"/>
        <w:numPr>
          <w:ilvl w:val="0"/>
          <w:numId w:val="3"/>
        </w:numPr>
        <w:rPr>
          <w:lang w:val="en-GB"/>
        </w:rPr>
      </w:pPr>
      <w:r w:rsidRPr="003E002E">
        <w:rPr>
          <w:lang w:val="en-GB"/>
        </w:rPr>
        <w:t>Budžetski zahtev AUVN-a dostavljen u MFRT na osnovu Budžetskog cirkulara 2025/01, 12. septembra 2024.;</w:t>
      </w:r>
    </w:p>
    <w:p w14:paraId="5A8FBB51" w14:textId="77777777" w:rsidR="003E002E" w:rsidRPr="003E002E" w:rsidRDefault="003E002E" w:rsidP="003E002E">
      <w:pPr>
        <w:pStyle w:val="ListParagraph"/>
        <w:numPr>
          <w:ilvl w:val="0"/>
          <w:numId w:val="3"/>
        </w:numPr>
        <w:rPr>
          <w:lang w:val="en-GB"/>
        </w:rPr>
      </w:pPr>
      <w:r w:rsidRPr="003E002E">
        <w:rPr>
          <w:lang w:val="en-GB"/>
        </w:rPr>
        <w:t>Budžetski cirkular 2025/02 MFRT, da.10 oktobra 2024., kao i budžetski zahtev AUVN-a 2025/27 na osnovu Budžetski cirkular 2025/02 za godine 2025-2027. upućen MFRT da. 15. oktobra 2024. godine;</w:t>
      </w:r>
    </w:p>
    <w:p w14:paraId="5711FA80" w14:textId="77777777" w:rsidR="003E002E" w:rsidRPr="003E002E" w:rsidRDefault="003E002E" w:rsidP="003E002E">
      <w:pPr>
        <w:pStyle w:val="ListParagraph"/>
        <w:numPr>
          <w:ilvl w:val="0"/>
          <w:numId w:val="3"/>
        </w:numPr>
        <w:rPr>
          <w:lang w:val="en-GB"/>
        </w:rPr>
      </w:pPr>
      <w:r w:rsidRPr="003E002E">
        <w:rPr>
          <w:lang w:val="en-GB"/>
        </w:rPr>
        <w:t>Nacrt zakona o budžetskim izdvajanjima budžeta Republike Kosova za 2025. godinu;</w:t>
      </w:r>
    </w:p>
    <w:p w14:paraId="67C3E5CD" w14:textId="77777777" w:rsidR="003E002E" w:rsidRPr="003E002E" w:rsidRDefault="003E002E" w:rsidP="003E002E">
      <w:pPr>
        <w:pStyle w:val="ListParagraph"/>
        <w:numPr>
          <w:ilvl w:val="0"/>
          <w:numId w:val="3"/>
        </w:numPr>
        <w:rPr>
          <w:lang w:val="en-GB"/>
        </w:rPr>
      </w:pPr>
      <w:r w:rsidRPr="003E002E">
        <w:rPr>
          <w:lang w:val="en-GB"/>
        </w:rPr>
        <w:t>Izveštaj o rashodima budžeta januar-novembar i izveštaj realizovanih obuka tokom 2024. godine za AUVN dana 27. novembra 2024.;</w:t>
      </w:r>
    </w:p>
    <w:p w14:paraId="6153D97D" w14:textId="77777777" w:rsidR="003E002E" w:rsidRPr="003E002E" w:rsidRDefault="003E002E" w:rsidP="003E002E">
      <w:pPr>
        <w:pStyle w:val="ListParagraph"/>
        <w:numPr>
          <w:ilvl w:val="0"/>
          <w:numId w:val="3"/>
        </w:numPr>
        <w:rPr>
          <w:lang w:val="en-GB"/>
        </w:rPr>
      </w:pPr>
      <w:r w:rsidRPr="003E002E">
        <w:rPr>
          <w:lang w:val="en-GB"/>
        </w:rPr>
        <w:t>Izveštaj o realizaciji budžeta 1 januar-3. decembar AUVN-a i budžetska planiranja za 2025. godinu od MFRT da. 3. decembra 2024.;</w:t>
      </w:r>
    </w:p>
    <w:p w14:paraId="68CB7F74" w14:textId="77777777" w:rsidR="003E002E" w:rsidRPr="003E002E" w:rsidRDefault="003E002E" w:rsidP="003E002E">
      <w:pPr>
        <w:pStyle w:val="ListParagraph"/>
        <w:numPr>
          <w:ilvl w:val="0"/>
          <w:numId w:val="3"/>
        </w:numPr>
        <w:rPr>
          <w:lang w:val="en-GB"/>
        </w:rPr>
      </w:pPr>
      <w:r w:rsidRPr="003E002E">
        <w:rPr>
          <w:lang w:val="en-GB"/>
        </w:rPr>
        <w:t>Odgovori AUVN na pitanja dostavljena u vezi sa brojem pozicija, operativnih troškova, amortizacija, trošak kapitala i dokaza o investicijama; dana 25. oktobra 2024.;</w:t>
      </w:r>
    </w:p>
    <w:p w14:paraId="61E56652" w14:textId="77777777" w:rsidR="003E002E" w:rsidRPr="003E002E" w:rsidRDefault="003E002E" w:rsidP="003E002E">
      <w:pPr>
        <w:pStyle w:val="ListParagraph"/>
        <w:numPr>
          <w:ilvl w:val="0"/>
          <w:numId w:val="3"/>
        </w:numPr>
        <w:rPr>
          <w:lang w:val="en-GB"/>
        </w:rPr>
      </w:pPr>
      <w:r w:rsidRPr="003E002E">
        <w:rPr>
          <w:lang w:val="en-GB"/>
        </w:rPr>
        <w:t>Ažurirani dokumenti dostavljeni od AUVN tokom drugog izveštavanja dopunjenog i izmenjenog (konačni osnovni trošak za pružanje usluga tokom 2025. godine kroz tabele Izveštavanja iz priloga II i VI Uredbe), da. 8. novembra 2024.;</w:t>
      </w:r>
    </w:p>
    <w:p w14:paraId="3893482F" w14:textId="77777777" w:rsidR="003E002E" w:rsidRPr="003E002E" w:rsidRDefault="003E002E" w:rsidP="003E002E">
      <w:pPr>
        <w:pStyle w:val="ListParagraph"/>
        <w:numPr>
          <w:ilvl w:val="0"/>
          <w:numId w:val="3"/>
        </w:numPr>
        <w:rPr>
          <w:lang w:val="en-GB"/>
        </w:rPr>
      </w:pPr>
      <w:r w:rsidRPr="003E002E">
        <w:rPr>
          <w:lang w:val="en-GB"/>
        </w:rPr>
        <w:t>Odobreni plan obuka AUVN-a za 2025. godinu dostavljen u ACV dana 22. novembra 2024.;</w:t>
      </w:r>
    </w:p>
    <w:p w14:paraId="0544F83D" w14:textId="77777777" w:rsidR="003E002E" w:rsidRPr="003E002E" w:rsidRDefault="003E002E" w:rsidP="003E002E">
      <w:pPr>
        <w:pStyle w:val="ListParagraph"/>
        <w:numPr>
          <w:ilvl w:val="0"/>
          <w:numId w:val="3"/>
        </w:numPr>
        <w:rPr>
          <w:lang w:val="en-GB"/>
        </w:rPr>
      </w:pPr>
      <w:r w:rsidRPr="003E002E">
        <w:rPr>
          <w:lang w:val="en-GB"/>
        </w:rPr>
        <w:t>Mišljenje Ombudsmana u vezi godišnjih odmora, sa brojem A.br.505/2021. dana 14. aprila 2022. dostavljeno u ACV dana 22. novembra 2024. i Obaveštenje za prenos uputstva iz DUJS u vezi sa obračunavanjem dana odmora, prema sprovodljivim zakonodavstvom dostavljen dana 22. novembra 2024.;</w:t>
      </w:r>
    </w:p>
    <w:p w14:paraId="41F3E260" w14:textId="77777777" w:rsidR="003E002E" w:rsidRPr="003E002E" w:rsidRDefault="003E002E" w:rsidP="003E002E">
      <w:pPr>
        <w:pStyle w:val="ListParagraph"/>
        <w:numPr>
          <w:ilvl w:val="0"/>
          <w:numId w:val="3"/>
        </w:numPr>
        <w:rPr>
          <w:lang w:val="en-GB"/>
        </w:rPr>
      </w:pPr>
      <w:r w:rsidRPr="003E002E">
        <w:rPr>
          <w:lang w:val="en-GB"/>
        </w:rPr>
        <w:t>Preliminarni izveštaj terminalnih jedinica usluge (TSU) za mesec novembar i decembar 2024. dostavljen iz AUVN dana 6. novembra 2024. i 5. decembra 2024.;</w:t>
      </w:r>
    </w:p>
    <w:p w14:paraId="444048C7" w14:textId="77777777" w:rsidR="003E002E" w:rsidRPr="003E002E" w:rsidRDefault="003E002E" w:rsidP="003E002E">
      <w:pPr>
        <w:pStyle w:val="ListParagraph"/>
        <w:numPr>
          <w:ilvl w:val="0"/>
          <w:numId w:val="3"/>
        </w:numPr>
        <w:rPr>
          <w:lang w:val="en-GB"/>
        </w:rPr>
      </w:pPr>
      <w:r w:rsidRPr="003E002E">
        <w:rPr>
          <w:lang w:val="en-GB"/>
        </w:rPr>
        <w:t>Prognoza broja putnika i letova za poslednje mesece 2024. godine kao i 2025. godine dostavljena od LKIA da. 25. novembra 2024.;</w:t>
      </w:r>
    </w:p>
    <w:p w14:paraId="7134D434" w14:textId="77777777" w:rsidR="003E002E" w:rsidRPr="003E002E" w:rsidRDefault="003E002E" w:rsidP="003E002E">
      <w:pPr>
        <w:pStyle w:val="ListParagraph"/>
        <w:numPr>
          <w:ilvl w:val="0"/>
          <w:numId w:val="3"/>
        </w:numPr>
        <w:rPr>
          <w:lang w:val="en-GB"/>
        </w:rPr>
      </w:pPr>
      <w:r w:rsidRPr="003E002E">
        <w:rPr>
          <w:lang w:val="en-GB"/>
        </w:rPr>
        <w:t>Dokazi o realizaciji kapitalnih projekata 2024. odobrenih od ACV-a dostavljeni od AUVN u periodu 21. novembar-05. decembar 2024.;</w:t>
      </w:r>
    </w:p>
    <w:p w14:paraId="12BDCDE6" w14:textId="77777777" w:rsidR="003E002E" w:rsidRPr="003E002E" w:rsidRDefault="003E002E" w:rsidP="003E002E">
      <w:pPr>
        <w:pStyle w:val="ListParagraph"/>
        <w:numPr>
          <w:ilvl w:val="0"/>
          <w:numId w:val="3"/>
        </w:numPr>
        <w:rPr>
          <w:lang w:val="en-GB"/>
        </w:rPr>
      </w:pPr>
      <w:r w:rsidRPr="003E002E">
        <w:rPr>
          <w:lang w:val="en-GB"/>
        </w:rPr>
        <w:t>Godišnji biznis plan AUVN za 2025. godinu, dana 2. decembar dostavljen ACV-u dana 3. decembra 2024.;</w:t>
      </w:r>
    </w:p>
    <w:p w14:paraId="16909F8A" w14:textId="77777777" w:rsidR="003E002E" w:rsidRPr="003E002E" w:rsidRDefault="003E002E" w:rsidP="003E002E">
      <w:pPr>
        <w:pStyle w:val="ListParagraph"/>
        <w:numPr>
          <w:ilvl w:val="0"/>
          <w:numId w:val="3"/>
        </w:numPr>
        <w:rPr>
          <w:lang w:val="en-GB"/>
        </w:rPr>
      </w:pPr>
      <w:r w:rsidRPr="003E002E">
        <w:rPr>
          <w:lang w:val="en-GB"/>
        </w:rPr>
        <w:t>Biznis plan za period 2025-2029. AUVN-a dana 2. decembra dostavljen u ACV dana 3. decembra 2024.;</w:t>
      </w:r>
    </w:p>
    <w:p w14:paraId="45452056" w14:textId="77777777" w:rsidR="003E002E" w:rsidRPr="003E002E" w:rsidRDefault="003E002E" w:rsidP="003E002E">
      <w:pPr>
        <w:pStyle w:val="ListParagraph"/>
        <w:numPr>
          <w:ilvl w:val="0"/>
          <w:numId w:val="3"/>
        </w:numPr>
        <w:rPr>
          <w:lang w:val="en-GB"/>
        </w:rPr>
      </w:pPr>
      <w:r w:rsidRPr="003E002E">
        <w:rPr>
          <w:lang w:val="en-GB"/>
        </w:rPr>
        <w:t>Izveštaj o predlogu terminalne jedinice 2025. izrađen od AUVN i raspodeljen vazdušnim kompanijama na konsultacije u skladu sa članom15. Uredbe br.3/2016. ACV-a, da. 11. novembra 2024.;</w:t>
      </w:r>
    </w:p>
    <w:p w14:paraId="07F66DB8" w14:textId="77777777" w:rsidR="003E002E" w:rsidRPr="003E002E" w:rsidRDefault="003E002E" w:rsidP="003E002E">
      <w:pPr>
        <w:pStyle w:val="ListParagraph"/>
        <w:numPr>
          <w:ilvl w:val="0"/>
          <w:numId w:val="3"/>
        </w:numPr>
        <w:rPr>
          <w:lang w:val="en-GB"/>
        </w:rPr>
      </w:pPr>
      <w:r w:rsidRPr="003E002E">
        <w:rPr>
          <w:lang w:val="en-GB"/>
        </w:rPr>
        <w:lastRenderedPageBreak/>
        <w:t>Izveštavanje od AUVN da. 3. decembra 2024., da nakon zaključavanje trosedmičnog roka iz javne konsultacije (12. novembra - 2. decembra 2024.) u vezi sa utvrđivanjem terminalne tarife, nisu primili komentare od avio-kompanija;</w:t>
      </w:r>
    </w:p>
    <w:p w14:paraId="13DBE398" w14:textId="77777777" w:rsidR="003E002E" w:rsidRPr="003E002E" w:rsidRDefault="003E002E" w:rsidP="003E002E">
      <w:pPr>
        <w:pStyle w:val="ListParagraph"/>
        <w:numPr>
          <w:ilvl w:val="0"/>
          <w:numId w:val="3"/>
        </w:numPr>
        <w:rPr>
          <w:lang w:val="en-GB"/>
        </w:rPr>
      </w:pPr>
      <w:r w:rsidRPr="003E002E">
        <w:rPr>
          <w:lang w:val="en-GB"/>
        </w:rPr>
        <w:t>10. godišnje državne obveznice Centralne banke Kosova objavljene dana 5. septembra 2024., na aukciji za obveznice iz CBK-a;</w:t>
      </w:r>
    </w:p>
    <w:p w14:paraId="4E0E0101" w14:textId="75B6F716" w:rsidR="00122DFD" w:rsidRDefault="003E002E" w:rsidP="003E002E">
      <w:pPr>
        <w:pStyle w:val="ListParagraph"/>
        <w:numPr>
          <w:ilvl w:val="0"/>
          <w:numId w:val="3"/>
        </w:numPr>
        <w:rPr>
          <w:lang w:val="en-GB"/>
        </w:rPr>
      </w:pPr>
      <w:r w:rsidRPr="003E002E">
        <w:rPr>
          <w:lang w:val="en-GB"/>
        </w:rPr>
        <w:t>Dodatne informacije i dokumentacija koja je primljena od AUVN putem elektronske komunikacije u periodu oktobar-decembar 2024. sa ciljem utvrđivanja tarife za terminalnu jedinicu za 2025. godinu tokom perioda razmatranja</w:t>
      </w:r>
      <w:r w:rsidR="00122DFD" w:rsidRPr="00122DFD">
        <w:rPr>
          <w:lang w:val="en-GB"/>
        </w:rPr>
        <w:t>;</w:t>
      </w:r>
    </w:p>
    <w:p w14:paraId="5B478677" w14:textId="729048AF" w:rsidR="00122DFD" w:rsidRDefault="003E002E" w:rsidP="00122DFD">
      <w:pPr>
        <w:pStyle w:val="ListParagraph"/>
        <w:numPr>
          <w:ilvl w:val="0"/>
          <w:numId w:val="3"/>
        </w:numPr>
        <w:rPr>
          <w:lang w:val="en-GB"/>
        </w:rPr>
      </w:pPr>
      <w:r w:rsidRPr="003E002E">
        <w:rPr>
          <w:lang w:val="en-GB"/>
        </w:rPr>
        <w:t>Sastanci sa službenicima AUVN-a u vezi sa tarifom terminalne jedinice za 2025., dana 13. juna, 28. avgusta i 30. oktobra 2024</w:t>
      </w:r>
      <w:r w:rsidR="00122DFD">
        <w:rPr>
          <w:lang w:val="en-GB"/>
        </w:rPr>
        <w:t xml:space="preserve">. </w:t>
      </w:r>
    </w:p>
    <w:p w14:paraId="3B64AB89" w14:textId="77777777" w:rsidR="00122DFD" w:rsidRDefault="00122DFD" w:rsidP="00122DFD">
      <w:pPr>
        <w:rPr>
          <w:lang w:val="en-GB"/>
        </w:rPr>
      </w:pPr>
    </w:p>
    <w:p w14:paraId="7AA59B1A" w14:textId="77777777" w:rsidR="003E002E" w:rsidRDefault="003E002E" w:rsidP="003E002E">
      <w:pPr>
        <w:rPr>
          <w:b/>
          <w:bCs/>
          <w:lang w:val="en-GB"/>
        </w:rPr>
      </w:pPr>
      <w:r w:rsidRPr="003E002E">
        <w:rPr>
          <w:b/>
          <w:bCs/>
          <w:lang w:val="en-GB"/>
        </w:rPr>
        <w:t>Troškovi za plate i dnevnice:</w:t>
      </w:r>
    </w:p>
    <w:p w14:paraId="501D034C" w14:textId="77777777" w:rsidR="003E002E" w:rsidRPr="003E002E" w:rsidRDefault="003E002E" w:rsidP="003E002E">
      <w:pPr>
        <w:rPr>
          <w:b/>
          <w:bCs/>
          <w:lang w:val="en-GB"/>
        </w:rPr>
      </w:pPr>
    </w:p>
    <w:p w14:paraId="3E3C304D" w14:textId="77777777" w:rsidR="003E002E" w:rsidRPr="003E002E" w:rsidRDefault="003E002E" w:rsidP="003E002E">
      <w:pPr>
        <w:rPr>
          <w:lang w:val="en-GB"/>
        </w:rPr>
      </w:pPr>
      <w:r w:rsidRPr="003E002E">
        <w:rPr>
          <w:lang w:val="en-GB"/>
        </w:rPr>
        <w:t>Za 2025. godinu, AUVN je u konačnom predlogu dostavljenog dana 8. novembra 2024. predložila trošak od 3,893 miliona EUR za plate i dnevnice 192 radnika, što uključuje i plaćanja dodataka (radno iskustvo, dodaci za prekovremeni rad, dodaci za uslove tržišta rada i prelazne dodatke kao i naknadu za prikupljene dane godišnjeg odmora prema odluci Ombudsmana i DUJS-a). Ovaj trošak predstavlja povećanje od 8.3% u poređenju na utvrđivanje ACV-a za ovu kategoriju za 2024. godinu. Trošak predloženi je povećan, između ostalog, zbog 33 nove pozicije koje se planiraju da se zaposle 2025. (24 nova kontrolora vazdušnog saobraćaja  stižući na 54 ukupno, 5 mladih inženjera stižući na 11 ukupno, 2 studenta aeronautičke meteorološke prognoze, 1 tehničar za održavanje i 1 službenik za imovinu). Naglašeni faktor doprinosa na trošak plata koja je kontinuirano rasla je plaćanje za prekovremeni rad za 2025. godinu dostiže vrednost 595,680.74 EUR. Budući da je trošak za prekovremeni rad i praznike tokom godina imao trend rasta, ACV zahteva da AUVN podigne disciplinu potrošnje u ovom aspektu, posebno da adresira dodatne sate koji podižu troškove.</w:t>
      </w:r>
    </w:p>
    <w:p w14:paraId="2615DD8E" w14:textId="77777777" w:rsidR="003E002E" w:rsidRPr="003E002E" w:rsidRDefault="003E002E" w:rsidP="003E002E">
      <w:pPr>
        <w:rPr>
          <w:lang w:val="en-GB"/>
        </w:rPr>
      </w:pPr>
      <w:r w:rsidRPr="003E002E">
        <w:rPr>
          <w:lang w:val="en-GB"/>
        </w:rPr>
        <w:t>Imajući u obzir zahtev Uredbe, prema kojoj samo trošak osoblja koji se očekuje pružiti uslugu tokom 2025. godine treba naplatiti vazdušnim kompanijama, ACV je izvršila analizu ovih troškova i primetila da se u troškove ubacilo i plate za 12 meseci za nove kontrolore što se zbog toga ne može realizovati jer procedura za njihovo zapošljavanje nije počela. Nakon rekalkulacije, ACV je utvrdila kao razumnim i prihvatljivim trošak od 3.85 miliona EUR za plate, dodatke na platama i druge naknade. Utvrđeni broj osoblja je 192 koliko je utvrdio nacrt zakona o budžetskim izdvajanjima za 2025. za AUVN-a.</w:t>
      </w:r>
    </w:p>
    <w:p w14:paraId="0C3ADAB2" w14:textId="77777777" w:rsidR="003E002E" w:rsidRDefault="003E002E" w:rsidP="003E002E">
      <w:pPr>
        <w:rPr>
          <w:b/>
          <w:bCs/>
          <w:lang w:val="en-GB"/>
        </w:rPr>
      </w:pPr>
    </w:p>
    <w:p w14:paraId="2FE1536C" w14:textId="12A62DE1" w:rsidR="003E002E" w:rsidRDefault="003E002E" w:rsidP="003E002E">
      <w:pPr>
        <w:rPr>
          <w:b/>
          <w:bCs/>
          <w:lang w:val="en-GB"/>
        </w:rPr>
      </w:pPr>
      <w:r w:rsidRPr="003E002E">
        <w:rPr>
          <w:b/>
          <w:bCs/>
          <w:lang w:val="en-GB"/>
        </w:rPr>
        <w:t>Ostali operativni troškovi:</w:t>
      </w:r>
    </w:p>
    <w:p w14:paraId="05624E43" w14:textId="77777777" w:rsidR="003E002E" w:rsidRPr="003E002E" w:rsidRDefault="003E002E" w:rsidP="003E002E">
      <w:pPr>
        <w:rPr>
          <w:b/>
          <w:bCs/>
          <w:lang w:val="en-GB"/>
        </w:rPr>
      </w:pPr>
    </w:p>
    <w:p w14:paraId="724A30F8" w14:textId="77777777" w:rsidR="003E002E" w:rsidRPr="003E002E" w:rsidRDefault="003E002E" w:rsidP="003E002E">
      <w:pPr>
        <w:rPr>
          <w:lang w:val="en-GB"/>
        </w:rPr>
      </w:pPr>
      <w:r w:rsidRPr="003E002E">
        <w:rPr>
          <w:lang w:val="en-GB"/>
        </w:rPr>
        <w:t>U konačnom predlogu dana 8. novembra 2024., AUVN je predložila operativne troškove u vrednosti od 2.715 miliona EUR ili 9% više koliko je utvrdila ACV za 2024. godinu.</w:t>
      </w:r>
    </w:p>
    <w:p w14:paraId="23459906" w14:textId="77777777" w:rsidR="003E002E" w:rsidRPr="003E002E" w:rsidRDefault="003E002E" w:rsidP="003E002E">
      <w:pPr>
        <w:rPr>
          <w:lang w:val="en-GB"/>
        </w:rPr>
      </w:pPr>
      <w:r w:rsidRPr="003E002E">
        <w:rPr>
          <w:lang w:val="en-GB"/>
        </w:rPr>
        <w:t>ACV je razmotrila listu operativnih troškova 2025. koja drži ukupnu vrednost od 2,715,176 miliona EUR u kojoj je primetila kako i prethodnih godina, linije sa najvećim troškovima su Obuke (790,000 EUR) i Održavanje (544,500 EUR).</w:t>
      </w:r>
    </w:p>
    <w:p w14:paraId="400C49A1" w14:textId="77777777" w:rsidR="003E002E" w:rsidRPr="003E002E" w:rsidRDefault="003E002E" w:rsidP="003E002E">
      <w:pPr>
        <w:rPr>
          <w:lang w:val="en-GB"/>
        </w:rPr>
      </w:pPr>
      <w:r w:rsidRPr="003E002E">
        <w:rPr>
          <w:lang w:val="en-GB"/>
        </w:rPr>
        <w:t xml:space="preserve">Tokom razmatranja realizacije budžeta za 2024. godinu utvrđeno je da je AUVN do dana 5 decembra 2024. godine realizovao samo 206,984 EUR linije obuka od 790,233 EUR koliko su odobreni od ACV-a uglavnom zbog nezapošljavanja/obuke 12 novih kontrolora što prema AUVN ova vrednost je oko 500,000 EUR. Što se tiče održavanja, primećuje se da od 664,000 EUR koliko su odobreni od ACV-a za 2024. godinu do dana 5 decembra 2024., potrošeno je 330,992 EUR. </w:t>
      </w:r>
      <w:r w:rsidRPr="003E002E">
        <w:rPr>
          <w:lang w:val="en-GB"/>
        </w:rPr>
        <w:lastRenderedPageBreak/>
        <w:t>Naglašavamo da je ovaj trend nerealizacije budžeta održavanja, prisutan u zadnjim godinama što ukazuje na neodgovarajuće planiranje i nepravilno upravljanje realizacijom troškova u ovoj kategoriji stoga zahteva poseban tretman od strane menadžmenta AUVN jer samo to povećava dug prema vazdušnim kompanijama.</w:t>
      </w:r>
    </w:p>
    <w:p w14:paraId="32718626" w14:textId="77777777" w:rsidR="003E002E" w:rsidRPr="003E002E" w:rsidRDefault="003E002E" w:rsidP="003E002E">
      <w:pPr>
        <w:rPr>
          <w:lang w:val="en-GB"/>
        </w:rPr>
      </w:pPr>
      <w:r w:rsidRPr="003E002E">
        <w:rPr>
          <w:lang w:val="en-GB"/>
        </w:rPr>
        <w:t>Prema podacima iz Ministarstva finansija, do dana 3. decembra 2024., AUVN je realizovala budžet za operativne troškove u vrednosti od 1.194 miliona EUR, što znači da su realizovani 48% usvojenih operativnih troškova od ACV za 2024. godinu. U međuvremenu, prema izjavi AUVN dana 4. decembra 2024., očekuje se da će realizacija ostalih operativnih troškova dostići na 70% do kraja 2024. godine nakon plaćanja nekih obaveza.</w:t>
      </w:r>
    </w:p>
    <w:p w14:paraId="6E197355" w14:textId="48341F6B" w:rsidR="009C475A" w:rsidRPr="003E002E" w:rsidRDefault="003E002E" w:rsidP="003E002E">
      <w:pPr>
        <w:rPr>
          <w:lang w:val="en-GB"/>
        </w:rPr>
      </w:pPr>
      <w:r w:rsidRPr="003E002E">
        <w:rPr>
          <w:lang w:val="en-GB"/>
        </w:rPr>
        <w:t>Nakon što je razmotrila svaku liniju operativnih troškova predviđenih za 2025. godinu i izveštaj o realizaciji budžeta tokom 2024. godine, i imajući u obzir metodologiju uredbe prema kojoj avio-kompanije ne treba da plaćaju više od nastalih troškova, ACV je utvrdila kao razuman i prihvatljiv operativni budžet od 2,443 miliona EUR za 2025. godinu, što uključuje i opštinske troškove od 145,500 EUR</w:t>
      </w:r>
      <w:r w:rsidR="009D50F3" w:rsidRPr="003E002E">
        <w:rPr>
          <w:lang w:val="en-GB"/>
        </w:rPr>
        <w:t>.</w:t>
      </w:r>
    </w:p>
    <w:p w14:paraId="300E234E" w14:textId="77777777" w:rsidR="00EB41C9" w:rsidRDefault="00EB41C9" w:rsidP="009D50F3">
      <w:pPr>
        <w:rPr>
          <w:lang w:val="en-GB"/>
        </w:rPr>
      </w:pPr>
    </w:p>
    <w:p w14:paraId="270A9217" w14:textId="77777777" w:rsidR="003E002E" w:rsidRPr="003E002E" w:rsidRDefault="003E002E" w:rsidP="003E002E">
      <w:pPr>
        <w:rPr>
          <w:b/>
          <w:bCs/>
          <w:lang w:val="en-GB"/>
        </w:rPr>
      </w:pPr>
      <w:r w:rsidRPr="003E002E">
        <w:rPr>
          <w:b/>
          <w:bCs/>
          <w:lang w:val="en-GB"/>
        </w:rPr>
        <w:t>Trošak amortizacije i trošak kapitala:</w:t>
      </w:r>
    </w:p>
    <w:p w14:paraId="724AA8D7" w14:textId="77777777" w:rsidR="003E002E" w:rsidRDefault="003E002E" w:rsidP="003E002E">
      <w:pPr>
        <w:rPr>
          <w:lang w:val="en-GB"/>
        </w:rPr>
      </w:pPr>
    </w:p>
    <w:p w14:paraId="50B0E99C" w14:textId="3BD4EB10" w:rsidR="00EB41C9" w:rsidRPr="003E002E" w:rsidRDefault="003E002E" w:rsidP="003E002E">
      <w:pPr>
        <w:rPr>
          <w:lang w:val="en-GB"/>
        </w:rPr>
      </w:pPr>
      <w:r w:rsidRPr="003E002E">
        <w:rPr>
          <w:lang w:val="en-GB"/>
        </w:rPr>
        <w:t>AUVN je predložila da trošak kapitala i amortizacije za 2025. godinu bude 927,152 EUR, od kojih trošak amortizacije u vrednosti od 807,902 EUR, dok je trošak kapitala u vrednosti od 119,251 EUR</w:t>
      </w:r>
      <w:r w:rsidR="009B0E33" w:rsidRPr="003E002E">
        <w:rPr>
          <w:lang w:val="en-GB"/>
        </w:rPr>
        <w:t>.</w:t>
      </w:r>
    </w:p>
    <w:p w14:paraId="244CEBEC" w14:textId="77777777" w:rsidR="00451711" w:rsidRDefault="00451711" w:rsidP="009D50F3">
      <w:pPr>
        <w:rPr>
          <w:lang w:val="en-GB"/>
        </w:rPr>
      </w:pPr>
    </w:p>
    <w:p w14:paraId="3DD1EF55" w14:textId="49DEF9A1" w:rsidR="00451711" w:rsidRDefault="003E002E" w:rsidP="00451711">
      <w:pPr>
        <w:pStyle w:val="ListParagraph"/>
        <w:numPr>
          <w:ilvl w:val="0"/>
          <w:numId w:val="4"/>
        </w:numPr>
        <w:rPr>
          <w:b/>
          <w:bCs/>
          <w:lang w:val="en-GB"/>
        </w:rPr>
      </w:pPr>
      <w:bookmarkStart w:id="0" w:name="bookmark10"/>
      <w:r w:rsidRPr="003E002E">
        <w:rPr>
          <w:b/>
          <w:bCs/>
          <w:lang w:val="en-GB"/>
        </w:rPr>
        <w:t xml:space="preserve">Trošak amortizacije trenutnih </w:t>
      </w:r>
      <w:bookmarkEnd w:id="0"/>
      <w:r w:rsidRPr="003E002E">
        <w:rPr>
          <w:b/>
          <w:bCs/>
          <w:lang w:val="en-GB"/>
        </w:rPr>
        <w:t>imovina</w:t>
      </w:r>
      <w:r w:rsidR="00451711">
        <w:rPr>
          <w:b/>
          <w:bCs/>
          <w:lang w:val="en-GB"/>
        </w:rPr>
        <w:t xml:space="preserve"> </w:t>
      </w:r>
    </w:p>
    <w:p w14:paraId="6959E8F9" w14:textId="77777777" w:rsidR="00451711" w:rsidRDefault="00451711" w:rsidP="00451711">
      <w:pPr>
        <w:rPr>
          <w:b/>
          <w:bCs/>
          <w:lang w:val="en-GB"/>
        </w:rPr>
      </w:pPr>
    </w:p>
    <w:p w14:paraId="4F9A9E91" w14:textId="005411EC" w:rsidR="00451711" w:rsidRDefault="003E002E" w:rsidP="00451711">
      <w:pPr>
        <w:rPr>
          <w:lang w:val="en-GB"/>
        </w:rPr>
      </w:pPr>
      <w:r w:rsidRPr="003E002E">
        <w:rPr>
          <w:lang w:val="en-GB"/>
        </w:rPr>
        <w:t>ACV je primetila da je lista regulisane imovine 2025. ažurirana kako bi uključila imovine koje su finansirane iz terminalnih tarifa za navigaciju 2024. (1. Vozila 2. Inventar za operativne potrebe 3. Regulisanje i renoviranje radnih prostora 4. Snabdevanje sa KVM prekidačima 5. Obnovljiva energija 6. Oprema za namenske linije sa susednim državama Voice + Data 7. Radio za sistem komunikacije zemlja-zemlja i 8. Ažuriranje radara u Golešu). Od ovih 8 kapitalnih projekata odobrenih od ACV-a za 2024. godinu realizovani su u potpunosti i ušli u funkciji tokom 2024. godine projekti 1,2,3 dok br. 7 očekuje se da uđe u funkciji dana 1. januara 2025. shodno tome prihvatljivi troškovi amortizacije su još od 1. januara 2025. Međutim, za ostale kapitalne projekte sa brojem 4,5,6, i 8 AUVN je proračunala da njihova amortizacija započne od dana 1 januara 2025., što nije dokazano. Na osnovu dokaza prikupljenih od AUVN i platforme za javne nabavke, proizilazi da su projekti sa brojem 4 i 5 (Obnovljiva energija i snabdevanje sa KVM prekidačima) poništeni stoga ACV ne priznaje troškove amortizacije za ova dva projekta. Pošto je za projekat sa brojem 8 ugovor bio potpisan početkom decembra a za projekat br. 6 bio u toku potpisivanja, zaključuje se da ove dve imovine ne očekuje se da stupe u funkciji od 1. januara 2025. Regulatorno razmatranje je pokazalo da je veliki deo kapitalnih projekata odobrenih da se finansiraju iz tarife pokrenut u platformi javnih nabavki u poslednja 4. meseca 2024. godine, i to je dovelo do situacije da oni ne uđu u službi  avio-kompanija tokom 2024. godine kako je bilo predviđeno. Imajući u obzir specifičnu metodologiju priznavanja prethodne amortizacije za nove imovine, ACV zahteva da se pokretanje kapitalnih projekata finansiranih od terminalnih tarifa navigacije obavi početkom godine. Budući da se u trošak za pružanje usluga mogu uneti samo one imovine koje su u funkciji tokom tarifne godine, ACV je odgodila datume početka amortizacije od 1. januara 2025. predložen od AUVN za 1. mart 2025. za dva gore pomenuta projekta i shodno tome prihvatljivi trošak amortizacije trenutnih imovina je 724,268 EUR</w:t>
      </w:r>
      <w:r w:rsidR="004942CB" w:rsidRPr="004942CB">
        <w:rPr>
          <w:lang w:val="en-GB"/>
        </w:rPr>
        <w:t>.</w:t>
      </w:r>
    </w:p>
    <w:p w14:paraId="59BBB58A" w14:textId="77777777" w:rsidR="00C62802" w:rsidRDefault="00C62802" w:rsidP="00451711">
      <w:pPr>
        <w:rPr>
          <w:lang w:val="en-GB"/>
        </w:rPr>
      </w:pPr>
    </w:p>
    <w:p w14:paraId="048074B1" w14:textId="0A31A4B8" w:rsidR="00C62802" w:rsidRDefault="003E002E" w:rsidP="00C62802">
      <w:pPr>
        <w:pStyle w:val="ListParagraph"/>
        <w:numPr>
          <w:ilvl w:val="0"/>
          <w:numId w:val="4"/>
        </w:numPr>
        <w:rPr>
          <w:b/>
          <w:bCs/>
          <w:lang w:val="en-GB"/>
        </w:rPr>
      </w:pPr>
      <w:r w:rsidRPr="003E002E">
        <w:rPr>
          <w:b/>
          <w:bCs/>
          <w:lang w:val="en-GB"/>
        </w:rPr>
        <w:t>Troškovi amortizacije novih imovina</w:t>
      </w:r>
      <w:r w:rsidR="00C62802">
        <w:rPr>
          <w:b/>
          <w:bCs/>
          <w:lang w:val="en-GB"/>
        </w:rPr>
        <w:t xml:space="preserve"> </w:t>
      </w:r>
    </w:p>
    <w:p w14:paraId="4746D7E1" w14:textId="77777777" w:rsidR="00C62802" w:rsidRDefault="00C62802" w:rsidP="00C62802">
      <w:pPr>
        <w:rPr>
          <w:b/>
          <w:bCs/>
          <w:lang w:val="en-GB"/>
        </w:rPr>
      </w:pPr>
    </w:p>
    <w:p w14:paraId="19A997F7" w14:textId="4449D743" w:rsidR="008949B3" w:rsidRPr="008949B3" w:rsidRDefault="008949B3" w:rsidP="008949B3">
      <w:pPr>
        <w:rPr>
          <w:lang w:val="en-GB"/>
        </w:rPr>
      </w:pPr>
      <w:r w:rsidRPr="008949B3">
        <w:rPr>
          <w:lang w:val="en-GB"/>
        </w:rPr>
        <w:t xml:space="preserve">As for the cost of depreciation of new assets, </w:t>
      </w:r>
      <w:r w:rsidR="0089437E">
        <w:rPr>
          <w:lang w:val="en-GB"/>
        </w:rPr>
        <w:t xml:space="preserve">the </w:t>
      </w:r>
      <w:r w:rsidRPr="008949B3">
        <w:rPr>
          <w:lang w:val="en-GB"/>
        </w:rPr>
        <w:t>CAA has observed that in the adjusted base of assets</w:t>
      </w:r>
      <w:r w:rsidR="0089437E">
        <w:rPr>
          <w:lang w:val="en-GB"/>
        </w:rPr>
        <w:t>, ANSA</w:t>
      </w:r>
      <w:r w:rsidRPr="008949B3">
        <w:rPr>
          <w:lang w:val="en-GB"/>
        </w:rPr>
        <w:t xml:space="preserve"> has included the assets of 6 new projects planned for 2025 and for each of them it has provided a reasonable period of time when they are expected to enter in</w:t>
      </w:r>
      <w:r w:rsidR="0089437E">
        <w:rPr>
          <w:lang w:val="en-GB"/>
        </w:rPr>
        <w:t>to</w:t>
      </w:r>
      <w:r w:rsidRPr="008949B3">
        <w:rPr>
          <w:lang w:val="en-GB"/>
        </w:rPr>
        <w:t xml:space="preserve"> operation as well as the corresponding depreciation. </w:t>
      </w:r>
      <w:r w:rsidR="0089437E">
        <w:rPr>
          <w:lang w:val="en-GB"/>
        </w:rPr>
        <w:t xml:space="preserve">The </w:t>
      </w:r>
      <w:r w:rsidRPr="008949B3">
        <w:rPr>
          <w:lang w:val="en-GB"/>
        </w:rPr>
        <w:t>CAA approves this depreciation cost of the new assets in addition to the depreciation cost of the second floor of the A</w:t>
      </w:r>
      <w:r w:rsidR="0089437E">
        <w:rPr>
          <w:lang w:val="en-GB"/>
        </w:rPr>
        <w:t>NSA’s</w:t>
      </w:r>
      <w:r w:rsidRPr="008949B3">
        <w:rPr>
          <w:lang w:val="en-GB"/>
        </w:rPr>
        <w:t xml:space="preserve"> building for the reasons stated in the following section of the Decision</w:t>
      </w:r>
      <w:r w:rsidR="0089437E">
        <w:rPr>
          <w:lang w:val="en-GB"/>
        </w:rPr>
        <w:t>, which pertains the</w:t>
      </w:r>
      <w:r w:rsidRPr="008949B3">
        <w:rPr>
          <w:lang w:val="en-GB"/>
        </w:rPr>
        <w:t xml:space="preserve"> approved capital projects. </w:t>
      </w:r>
      <w:r w:rsidR="0089437E">
        <w:rPr>
          <w:lang w:val="en-GB"/>
        </w:rPr>
        <w:t>Hence</w:t>
      </w:r>
      <w:r w:rsidRPr="008949B3">
        <w:rPr>
          <w:lang w:val="en-GB"/>
        </w:rPr>
        <w:t xml:space="preserve">, the </w:t>
      </w:r>
      <w:r w:rsidR="00A610F8">
        <w:rPr>
          <w:lang w:val="en-GB"/>
        </w:rPr>
        <w:t>eligible</w:t>
      </w:r>
      <w:r w:rsidRPr="008949B3">
        <w:rPr>
          <w:lang w:val="en-GB"/>
        </w:rPr>
        <w:t xml:space="preserve"> depreciation cost of the new assets is EUR 36,535.</w:t>
      </w:r>
    </w:p>
    <w:p w14:paraId="0AC43969" w14:textId="1F13A390" w:rsidR="00C62802" w:rsidRDefault="008949B3" w:rsidP="008949B3">
      <w:pPr>
        <w:rPr>
          <w:lang w:val="en-GB"/>
        </w:rPr>
      </w:pPr>
      <w:r w:rsidRPr="008949B3">
        <w:rPr>
          <w:lang w:val="en-GB"/>
        </w:rPr>
        <w:t xml:space="preserve">After the changes mentioned above, it </w:t>
      </w:r>
      <w:r w:rsidR="0089437E">
        <w:rPr>
          <w:lang w:val="en-GB"/>
        </w:rPr>
        <w:t>results</w:t>
      </w:r>
      <w:r w:rsidRPr="008949B3">
        <w:rPr>
          <w:lang w:val="en-GB"/>
        </w:rPr>
        <w:t xml:space="preserve"> that the depreciation value of the current and new </w:t>
      </w:r>
      <w:r w:rsidR="0089437E">
        <w:rPr>
          <w:lang w:val="en-GB"/>
        </w:rPr>
        <w:t>assets</w:t>
      </w:r>
      <w:r w:rsidRPr="008949B3">
        <w:rPr>
          <w:lang w:val="en-GB"/>
        </w:rPr>
        <w:t xml:space="preserve"> that are expected to serv</w:t>
      </w:r>
      <w:r w:rsidR="0089437E">
        <w:rPr>
          <w:lang w:val="en-GB"/>
        </w:rPr>
        <w:t>e</w:t>
      </w:r>
      <w:r w:rsidRPr="008949B3">
        <w:rPr>
          <w:lang w:val="en-GB"/>
        </w:rPr>
        <w:t xml:space="preserve"> the </w:t>
      </w:r>
      <w:r w:rsidR="0089437E">
        <w:rPr>
          <w:lang w:val="en-GB"/>
        </w:rPr>
        <w:t>a</w:t>
      </w:r>
      <w:r w:rsidRPr="008949B3">
        <w:rPr>
          <w:lang w:val="en-GB"/>
        </w:rPr>
        <w:t>irline</w:t>
      </w:r>
      <w:r w:rsidR="0089437E">
        <w:rPr>
          <w:lang w:val="en-GB"/>
        </w:rPr>
        <w:t xml:space="preserve"> companies that are eligible</w:t>
      </w:r>
      <w:r w:rsidRPr="008949B3">
        <w:rPr>
          <w:lang w:val="en-GB"/>
        </w:rPr>
        <w:t xml:space="preserve"> is </w:t>
      </w:r>
      <w:r w:rsidR="0089437E">
        <w:rPr>
          <w:lang w:val="en-GB"/>
        </w:rPr>
        <w:t xml:space="preserve">EUR </w:t>
      </w:r>
      <w:r w:rsidRPr="008949B3">
        <w:rPr>
          <w:lang w:val="en-GB"/>
        </w:rPr>
        <w:t>760,802.</w:t>
      </w:r>
    </w:p>
    <w:p w14:paraId="10D97253" w14:textId="77777777" w:rsidR="0089437E" w:rsidRDefault="0089437E" w:rsidP="008949B3">
      <w:pPr>
        <w:rPr>
          <w:lang w:val="en-GB"/>
        </w:rPr>
      </w:pPr>
    </w:p>
    <w:p w14:paraId="00C78661" w14:textId="1C919EC4" w:rsidR="0089437E" w:rsidRDefault="00A42BA3" w:rsidP="0089437E">
      <w:pPr>
        <w:pStyle w:val="ListParagraph"/>
        <w:numPr>
          <w:ilvl w:val="0"/>
          <w:numId w:val="4"/>
        </w:numPr>
        <w:rPr>
          <w:b/>
          <w:bCs/>
          <w:lang w:val="en-GB"/>
        </w:rPr>
      </w:pPr>
      <w:r w:rsidRPr="00A42BA3">
        <w:rPr>
          <w:b/>
          <w:bCs/>
          <w:lang w:val="en-GB"/>
        </w:rPr>
        <w:t>Trošak kapitala</w:t>
      </w:r>
      <w:r w:rsidR="0089437E">
        <w:rPr>
          <w:b/>
          <w:bCs/>
          <w:lang w:val="en-GB"/>
        </w:rPr>
        <w:t xml:space="preserve"> </w:t>
      </w:r>
    </w:p>
    <w:p w14:paraId="340D2B28" w14:textId="77777777" w:rsidR="0089437E" w:rsidRDefault="0089437E" w:rsidP="0089437E">
      <w:pPr>
        <w:rPr>
          <w:b/>
          <w:bCs/>
          <w:lang w:val="en-GB"/>
        </w:rPr>
      </w:pPr>
    </w:p>
    <w:p w14:paraId="471EE7DB" w14:textId="77777777" w:rsidR="00A42BA3" w:rsidRPr="00A42BA3" w:rsidRDefault="00A42BA3" w:rsidP="00A42BA3">
      <w:pPr>
        <w:rPr>
          <w:lang w:val="en-GB"/>
        </w:rPr>
      </w:pPr>
      <w:r w:rsidRPr="00A42BA3">
        <w:rPr>
          <w:lang w:val="en-GB"/>
        </w:rPr>
        <w:t>Trošak kapitala predloženog od AUVN u vrednosti od 119,251 EUR je takođe promenjen kako bi odražavao kapitalne projekte odobrene od ACV-a da bi se finansirao iz tarife u 2025. godini, kao i ponderisani prosek kamatne stope na dugove i povratka od kapitala u vrednost od 4.38% rezultirajući u vrednost od 143,722 EUR.</w:t>
      </w:r>
    </w:p>
    <w:p w14:paraId="4E6172ED" w14:textId="51189324" w:rsidR="00A42BA3" w:rsidRPr="00A42BA3" w:rsidRDefault="00A42BA3" w:rsidP="00A42BA3">
      <w:pPr>
        <w:rPr>
          <w:lang w:val="en-GB"/>
        </w:rPr>
      </w:pPr>
      <w:r w:rsidRPr="00A42BA3">
        <w:rPr>
          <w:lang w:val="en-GB"/>
        </w:rPr>
        <w:t>Što se tiče ponderisanog proseka kamatne stope na dugove i povratka od kapitala, AUVN je u završnom izveštavanju predložila da bude 3.35%. Na osnovu Priloga 3 Priručnika ICAO-a o ekonomiji usluga vazdušne navigacije i sekcije 1 tačke 4 Vodiča EUROCONTROL-a o sistemu rutnih tarifa, ACV je analizirala 10-godišnje vladine obveznice Centralne Banke Kosova i tokom 2024. godine, iz objavljenih rezultata aukcije za 10-godišnje vladine obveznice iz Centralne Banke Kosova dana 5. septembra 2024. godine, ponderisana prosečna stopa je 4.38%. Na osnovu ovih podataka, ACV je odlučila da prosečna ponderisana kamatna stopa na dugove i povratak kapitala bude 4.38%.</w:t>
      </w:r>
    </w:p>
    <w:p w14:paraId="0091EA79" w14:textId="0B82D9A0" w:rsidR="0089437E" w:rsidRDefault="00A42BA3" w:rsidP="00A42BA3">
      <w:pPr>
        <w:rPr>
          <w:lang w:val="en-GB"/>
        </w:rPr>
      </w:pPr>
      <w:r w:rsidRPr="00A42BA3">
        <w:rPr>
          <w:lang w:val="en-GB"/>
        </w:rPr>
        <w:t>Nakon finalizacije regulisane liste imovina, obračunavanja amortizacije i troškova kapitala kako za imovine koje su u funkciji u 2024., tako i za one koje se planiraju uneti u funkciji tokom 2025., i primenom stope od 4.38 %, ACV je utvrdila da trošak amortizacije i trošak kapitala za 2025. godinu bude 904,523 EUR</w:t>
      </w:r>
      <w:r w:rsidR="00A610F8" w:rsidRPr="00A610F8">
        <w:rPr>
          <w:lang w:val="en-GB"/>
        </w:rPr>
        <w:t>.</w:t>
      </w:r>
    </w:p>
    <w:p w14:paraId="0ECDC271" w14:textId="77777777" w:rsidR="002F30A5" w:rsidRDefault="002F30A5" w:rsidP="00A610F8">
      <w:pPr>
        <w:rPr>
          <w:lang w:val="en-GB"/>
        </w:rPr>
      </w:pPr>
    </w:p>
    <w:p w14:paraId="222B0809" w14:textId="18E7519D" w:rsidR="002F30A5" w:rsidRDefault="00A42BA3" w:rsidP="00A610F8">
      <w:pPr>
        <w:rPr>
          <w:b/>
          <w:bCs/>
          <w:lang w:val="en-GB"/>
        </w:rPr>
      </w:pPr>
      <w:r w:rsidRPr="00A42BA3">
        <w:rPr>
          <w:b/>
          <w:bCs/>
          <w:lang w:val="en-GB"/>
        </w:rPr>
        <w:t>Odobreni kapitalni projekti</w:t>
      </w:r>
      <w:r w:rsidR="002F30A5">
        <w:rPr>
          <w:b/>
          <w:bCs/>
          <w:lang w:val="en-GB"/>
        </w:rPr>
        <w:t xml:space="preserve">: </w:t>
      </w:r>
    </w:p>
    <w:p w14:paraId="5D84E8D9" w14:textId="77777777" w:rsidR="002F30A5" w:rsidRDefault="002F30A5" w:rsidP="00A610F8">
      <w:pPr>
        <w:rPr>
          <w:b/>
          <w:bCs/>
          <w:lang w:val="en-GB"/>
        </w:rPr>
      </w:pPr>
    </w:p>
    <w:p w14:paraId="3ED41ABA" w14:textId="77777777" w:rsidR="00A42BA3" w:rsidRPr="00A42BA3" w:rsidRDefault="00A42BA3" w:rsidP="00A42BA3">
      <w:pPr>
        <w:rPr>
          <w:lang w:val="en-GB"/>
        </w:rPr>
      </w:pPr>
      <w:r w:rsidRPr="00A42BA3">
        <w:rPr>
          <w:lang w:val="en-GB"/>
        </w:rPr>
        <w:t>AUVN je dostavila listu kapitalnih projekata u vrednosti od 1.050 miliona EUR koje je predložila da se finansiraju tokom 2025. godine iz terminalnih tarifa navigacije za 2025.</w:t>
      </w:r>
    </w:p>
    <w:p w14:paraId="5E991F3A" w14:textId="6A121D05" w:rsidR="002F30A5" w:rsidRDefault="00A42BA3" w:rsidP="00A42BA3">
      <w:pPr>
        <w:rPr>
          <w:lang w:val="en-GB"/>
        </w:rPr>
      </w:pPr>
      <w:r w:rsidRPr="00A42BA3">
        <w:rPr>
          <w:lang w:val="en-GB"/>
        </w:rPr>
        <w:t>ACV je analizirala ovu listu kapitalnih projekata, obrazloženje na raspolaganju kao i nivo realizacije kapitalnih projekata nadziranih tokom godina i odlučila da ih prihvati kao razuman trošak kapitalnih projekata u vrednosti od 750,000 EU u funkciji pružanja usluga za avio-kompanije kao u nastavku</w:t>
      </w:r>
      <w:r w:rsidR="00D15B2C" w:rsidRPr="00D15B2C">
        <w:rPr>
          <w:lang w:val="en-GB"/>
        </w:rPr>
        <w:t>:</w:t>
      </w:r>
    </w:p>
    <w:p w14:paraId="6DD1F47E" w14:textId="77777777" w:rsidR="00404971" w:rsidRDefault="00404971" w:rsidP="00D15B2C">
      <w:pPr>
        <w:rPr>
          <w:lang w:val="en-GB"/>
        </w:rPr>
      </w:pPr>
    </w:p>
    <w:tbl>
      <w:tblPr>
        <w:tblStyle w:val="TableGrid"/>
        <w:tblW w:w="0" w:type="auto"/>
        <w:tblInd w:w="265" w:type="dxa"/>
        <w:tblLook w:val="04A0" w:firstRow="1" w:lastRow="0" w:firstColumn="1" w:lastColumn="0" w:noHBand="0" w:noVBand="1"/>
      </w:tblPr>
      <w:tblGrid>
        <w:gridCol w:w="7200"/>
        <w:gridCol w:w="1620"/>
      </w:tblGrid>
      <w:tr w:rsidR="00A42BA3" w:rsidRPr="00D15B2C" w14:paraId="3758DF36" w14:textId="77777777" w:rsidTr="0035728A">
        <w:trPr>
          <w:trHeight w:val="360"/>
        </w:trPr>
        <w:tc>
          <w:tcPr>
            <w:tcW w:w="7200" w:type="dxa"/>
          </w:tcPr>
          <w:p w14:paraId="5091A4BC" w14:textId="07CC1DDD" w:rsidR="00A42BA3" w:rsidRPr="00A42BA3" w:rsidRDefault="00A42BA3" w:rsidP="00A42BA3">
            <w:pPr>
              <w:jc w:val="left"/>
              <w:rPr>
                <w:b/>
                <w:bCs/>
                <w:lang w:val="en-GB"/>
              </w:rPr>
            </w:pPr>
            <w:r w:rsidRPr="00A42BA3">
              <w:rPr>
                <w:b/>
                <w:bCs/>
              </w:rPr>
              <w:t>Kapitalni projekat</w:t>
            </w:r>
          </w:p>
        </w:tc>
        <w:tc>
          <w:tcPr>
            <w:tcW w:w="1620" w:type="dxa"/>
            <w:vAlign w:val="center"/>
          </w:tcPr>
          <w:p w14:paraId="7E69AE83" w14:textId="5930C49D" w:rsidR="00A42BA3" w:rsidRPr="00D15B2C" w:rsidRDefault="00A42BA3" w:rsidP="00A42BA3">
            <w:pPr>
              <w:jc w:val="center"/>
              <w:rPr>
                <w:b/>
                <w:bCs/>
                <w:lang w:val="en-GB"/>
              </w:rPr>
            </w:pPr>
            <w:r>
              <w:rPr>
                <w:b/>
                <w:bCs/>
                <w:lang w:val="en-GB"/>
              </w:rPr>
              <w:t>Total value</w:t>
            </w:r>
          </w:p>
        </w:tc>
      </w:tr>
      <w:tr w:rsidR="00A42BA3" w14:paraId="56E0E26B" w14:textId="77777777" w:rsidTr="0035728A">
        <w:trPr>
          <w:trHeight w:val="360"/>
        </w:trPr>
        <w:tc>
          <w:tcPr>
            <w:tcW w:w="7200" w:type="dxa"/>
          </w:tcPr>
          <w:p w14:paraId="6777EBC3" w14:textId="3C8C107C" w:rsidR="00A42BA3" w:rsidRDefault="00A42BA3" w:rsidP="00A42BA3">
            <w:pPr>
              <w:jc w:val="left"/>
              <w:rPr>
                <w:lang w:val="en-GB"/>
              </w:rPr>
            </w:pPr>
            <w:r w:rsidRPr="00AF078A">
              <w:t>AMHS (Automatic message handling system)</w:t>
            </w:r>
          </w:p>
        </w:tc>
        <w:tc>
          <w:tcPr>
            <w:tcW w:w="1620" w:type="dxa"/>
            <w:vAlign w:val="center"/>
          </w:tcPr>
          <w:p w14:paraId="7E9C8D2D" w14:textId="6F275F88" w:rsidR="00A42BA3" w:rsidRDefault="00A42BA3" w:rsidP="00A42BA3">
            <w:pPr>
              <w:jc w:val="center"/>
              <w:rPr>
                <w:lang w:val="en-GB"/>
              </w:rPr>
            </w:pPr>
            <w:r w:rsidRPr="00DA6992">
              <w:rPr>
                <w:lang w:val="en-GB"/>
              </w:rPr>
              <w:t xml:space="preserve">EUR </w:t>
            </w:r>
            <w:r>
              <w:rPr>
                <w:lang w:val="en-GB"/>
              </w:rPr>
              <w:t>600,000</w:t>
            </w:r>
          </w:p>
        </w:tc>
      </w:tr>
      <w:tr w:rsidR="00A42BA3" w14:paraId="3B654A11" w14:textId="77777777" w:rsidTr="0035728A">
        <w:trPr>
          <w:trHeight w:val="360"/>
        </w:trPr>
        <w:tc>
          <w:tcPr>
            <w:tcW w:w="7200" w:type="dxa"/>
          </w:tcPr>
          <w:p w14:paraId="0C5B1271" w14:textId="01B37C45" w:rsidR="00A42BA3" w:rsidRDefault="00A42BA3" w:rsidP="00A42BA3">
            <w:pPr>
              <w:jc w:val="left"/>
              <w:rPr>
                <w:lang w:val="en-GB"/>
              </w:rPr>
            </w:pPr>
            <w:r w:rsidRPr="00AF078A">
              <w:t>Regulisanje i renoviranje radnih prostora</w:t>
            </w:r>
          </w:p>
        </w:tc>
        <w:tc>
          <w:tcPr>
            <w:tcW w:w="1620" w:type="dxa"/>
            <w:vAlign w:val="center"/>
          </w:tcPr>
          <w:p w14:paraId="1CDF3E49" w14:textId="0D9658CF" w:rsidR="00A42BA3" w:rsidRDefault="00A42BA3" w:rsidP="00A42BA3">
            <w:pPr>
              <w:jc w:val="center"/>
              <w:rPr>
                <w:lang w:val="en-GB"/>
              </w:rPr>
            </w:pPr>
            <w:r w:rsidRPr="00DA6992">
              <w:rPr>
                <w:lang w:val="en-GB"/>
              </w:rPr>
              <w:t xml:space="preserve">EUR </w:t>
            </w:r>
            <w:r>
              <w:rPr>
                <w:lang w:val="en-GB"/>
              </w:rPr>
              <w:t>28,608</w:t>
            </w:r>
          </w:p>
        </w:tc>
      </w:tr>
      <w:tr w:rsidR="00A42BA3" w14:paraId="1CB95C5E" w14:textId="77777777" w:rsidTr="0035728A">
        <w:trPr>
          <w:trHeight w:val="360"/>
        </w:trPr>
        <w:tc>
          <w:tcPr>
            <w:tcW w:w="7200" w:type="dxa"/>
          </w:tcPr>
          <w:p w14:paraId="37D735F5" w14:textId="3B017DD5" w:rsidR="00A42BA3" w:rsidRDefault="00A42BA3" w:rsidP="00A42BA3">
            <w:pPr>
              <w:jc w:val="left"/>
              <w:rPr>
                <w:lang w:val="en-GB"/>
              </w:rPr>
            </w:pPr>
            <w:r w:rsidRPr="00AF078A">
              <w:lastRenderedPageBreak/>
              <w:t>Oprema za namenske linije sa susednim državama Voice+Data</w:t>
            </w:r>
          </w:p>
        </w:tc>
        <w:tc>
          <w:tcPr>
            <w:tcW w:w="1620" w:type="dxa"/>
            <w:vAlign w:val="center"/>
          </w:tcPr>
          <w:p w14:paraId="563DD24B" w14:textId="75150CC0" w:rsidR="00A42BA3" w:rsidRDefault="00A42BA3" w:rsidP="00A42BA3">
            <w:pPr>
              <w:jc w:val="center"/>
              <w:rPr>
                <w:lang w:val="en-GB"/>
              </w:rPr>
            </w:pPr>
            <w:r w:rsidRPr="00DA6992">
              <w:rPr>
                <w:lang w:val="en-GB"/>
              </w:rPr>
              <w:t xml:space="preserve">EUR </w:t>
            </w:r>
            <w:r>
              <w:rPr>
                <w:lang w:val="en-GB"/>
              </w:rPr>
              <w:t>31,392</w:t>
            </w:r>
          </w:p>
        </w:tc>
      </w:tr>
      <w:tr w:rsidR="00A42BA3" w14:paraId="76FF9441" w14:textId="77777777" w:rsidTr="0035728A">
        <w:trPr>
          <w:trHeight w:val="360"/>
        </w:trPr>
        <w:tc>
          <w:tcPr>
            <w:tcW w:w="7200" w:type="dxa"/>
          </w:tcPr>
          <w:p w14:paraId="0E1942D1" w14:textId="51E8168C" w:rsidR="00A42BA3" w:rsidRDefault="00A42BA3" w:rsidP="00A42BA3">
            <w:pPr>
              <w:jc w:val="left"/>
              <w:rPr>
                <w:lang w:val="en-GB"/>
              </w:rPr>
            </w:pPr>
            <w:r w:rsidRPr="00AF078A">
              <w:t>Kupovina nameštaja i inventara</w:t>
            </w:r>
          </w:p>
        </w:tc>
        <w:tc>
          <w:tcPr>
            <w:tcW w:w="1620" w:type="dxa"/>
            <w:vAlign w:val="center"/>
          </w:tcPr>
          <w:p w14:paraId="7A24F608" w14:textId="0B032C0F" w:rsidR="00A42BA3" w:rsidRDefault="00A42BA3" w:rsidP="00A42BA3">
            <w:pPr>
              <w:jc w:val="center"/>
              <w:rPr>
                <w:lang w:val="en-GB"/>
              </w:rPr>
            </w:pPr>
            <w:r w:rsidRPr="00DA6992">
              <w:rPr>
                <w:lang w:val="en-GB"/>
              </w:rPr>
              <w:t xml:space="preserve">EUR </w:t>
            </w:r>
            <w:r>
              <w:rPr>
                <w:lang w:val="en-GB"/>
              </w:rPr>
              <w:t>10,000</w:t>
            </w:r>
          </w:p>
        </w:tc>
      </w:tr>
      <w:tr w:rsidR="00A42BA3" w14:paraId="356B636D" w14:textId="77777777" w:rsidTr="0035728A">
        <w:trPr>
          <w:trHeight w:val="360"/>
        </w:trPr>
        <w:tc>
          <w:tcPr>
            <w:tcW w:w="7200" w:type="dxa"/>
          </w:tcPr>
          <w:p w14:paraId="45E76B7D" w14:textId="0E46E45B" w:rsidR="00A42BA3" w:rsidRDefault="00A42BA3" w:rsidP="00A42BA3">
            <w:pPr>
              <w:jc w:val="left"/>
              <w:rPr>
                <w:lang w:val="en-GB"/>
              </w:rPr>
            </w:pPr>
            <w:r w:rsidRPr="00AF078A">
              <w:t>Snabdevanje sa industrijskim UPS</w:t>
            </w:r>
          </w:p>
        </w:tc>
        <w:tc>
          <w:tcPr>
            <w:tcW w:w="1620" w:type="dxa"/>
            <w:vAlign w:val="center"/>
          </w:tcPr>
          <w:p w14:paraId="5A136736" w14:textId="67F6BEF3" w:rsidR="00A42BA3" w:rsidRDefault="00A42BA3" w:rsidP="00A42BA3">
            <w:pPr>
              <w:jc w:val="center"/>
              <w:rPr>
                <w:lang w:val="en-GB"/>
              </w:rPr>
            </w:pPr>
            <w:r w:rsidRPr="00DA6992">
              <w:rPr>
                <w:lang w:val="en-GB"/>
              </w:rPr>
              <w:t xml:space="preserve">EUR </w:t>
            </w:r>
            <w:r>
              <w:rPr>
                <w:lang w:val="en-GB"/>
              </w:rPr>
              <w:t>80,000</w:t>
            </w:r>
          </w:p>
        </w:tc>
      </w:tr>
      <w:tr w:rsidR="00A42BA3" w:rsidRPr="00D15B2C" w14:paraId="20598E72" w14:textId="77777777" w:rsidTr="0035728A">
        <w:trPr>
          <w:trHeight w:val="360"/>
        </w:trPr>
        <w:tc>
          <w:tcPr>
            <w:tcW w:w="7200" w:type="dxa"/>
          </w:tcPr>
          <w:p w14:paraId="18C1DA47" w14:textId="06B84152" w:rsidR="00A42BA3" w:rsidRPr="00D15B2C" w:rsidRDefault="00A42BA3" w:rsidP="00A42BA3">
            <w:pPr>
              <w:jc w:val="left"/>
              <w:rPr>
                <w:b/>
                <w:bCs/>
                <w:lang w:val="en-GB"/>
              </w:rPr>
            </w:pPr>
            <w:r w:rsidRPr="00A42BA3">
              <w:rPr>
                <w:b/>
                <w:bCs/>
              </w:rPr>
              <w:t>Ukupno</w:t>
            </w:r>
          </w:p>
        </w:tc>
        <w:tc>
          <w:tcPr>
            <w:tcW w:w="1620" w:type="dxa"/>
            <w:vAlign w:val="center"/>
          </w:tcPr>
          <w:p w14:paraId="5FDF9B66" w14:textId="6ADAF01A" w:rsidR="00A42BA3" w:rsidRPr="00D15B2C" w:rsidRDefault="00A42BA3" w:rsidP="00A42BA3">
            <w:pPr>
              <w:jc w:val="center"/>
              <w:rPr>
                <w:b/>
                <w:bCs/>
                <w:lang w:val="en-GB"/>
              </w:rPr>
            </w:pPr>
            <w:r w:rsidRPr="00DA6992">
              <w:rPr>
                <w:lang w:val="en-GB"/>
              </w:rPr>
              <w:t xml:space="preserve">EUR </w:t>
            </w:r>
            <w:r>
              <w:rPr>
                <w:lang w:val="en-GB"/>
              </w:rPr>
              <w:t>750,000</w:t>
            </w:r>
          </w:p>
        </w:tc>
      </w:tr>
    </w:tbl>
    <w:p w14:paraId="5879C07D" w14:textId="77777777" w:rsidR="00D15B2C" w:rsidRPr="002F30A5" w:rsidRDefault="00D15B2C" w:rsidP="00D15B2C">
      <w:pPr>
        <w:rPr>
          <w:lang w:val="en-GB"/>
        </w:rPr>
      </w:pPr>
    </w:p>
    <w:p w14:paraId="1EF69010" w14:textId="77777777" w:rsidR="00A42BA3" w:rsidRPr="00A42BA3" w:rsidRDefault="00A42BA3" w:rsidP="00A42BA3">
      <w:pPr>
        <w:rPr>
          <w:lang w:val="en-GB"/>
        </w:rPr>
      </w:pPr>
      <w:r w:rsidRPr="00A42BA3">
        <w:rPr>
          <w:lang w:val="en-GB"/>
        </w:rPr>
        <w:t>Na listi projekata predloženih od AUVN bila je i izgradnja drugog sprata zgrade AUVN-a. Iako ACV ceni potrebu AUVN-a da proširi prostorije objekta zbog povećanja broja radnika, imajući u obzir da je ovaj projekat u početnoj fazi i nije nam stavljen na raspolaganju idejni projekat sa predračunom niti dozvole za izgradnju ovog objekta nemoguće je odobriti ovaj kapitalni projekat. Takođe, ovo je saopšteno službenicima AUVN-a kako bi se zamenio drugim projektom, ali do izdavanja odluke nije bilo nekog zahteva AUVN-a.</w:t>
      </w:r>
    </w:p>
    <w:p w14:paraId="7401780C" w14:textId="77777777" w:rsidR="00A42BA3" w:rsidRPr="00A42BA3" w:rsidRDefault="00A42BA3" w:rsidP="00A42BA3">
      <w:pPr>
        <w:rPr>
          <w:lang w:val="en-GB"/>
        </w:rPr>
      </w:pPr>
      <w:r w:rsidRPr="00A42BA3">
        <w:rPr>
          <w:lang w:val="en-GB"/>
        </w:rPr>
        <w:t>Na osnovu tačke 2.3.3.2 Doc. No 20.60.01 Eurocontrol-a “Principles for establishing the cost-base for en route charges and the calculation of the unit rates“ “</w:t>
      </w:r>
      <w:r w:rsidRPr="00A42BA3">
        <w:rPr>
          <w:i/>
          <w:iCs/>
          <w:lang w:val="en-GB"/>
        </w:rPr>
        <w:t>kako bi se prostori i usluge uzeli u obzir u tarifi te godine, oni moraju biti ili u funkciji ili se očekuje da će stupiti u funkciji do kraja te godine</w:t>
      </w:r>
      <w:r w:rsidRPr="00A42BA3">
        <w:rPr>
          <w:lang w:val="en-GB"/>
        </w:rPr>
        <w:t xml:space="preserve">“. </w:t>
      </w:r>
    </w:p>
    <w:p w14:paraId="77675413" w14:textId="77777777" w:rsidR="00A42BA3" w:rsidRPr="00A42BA3" w:rsidRDefault="00A42BA3" w:rsidP="00A42BA3">
      <w:pPr>
        <w:rPr>
          <w:lang w:val="en-GB"/>
        </w:rPr>
      </w:pPr>
      <w:r w:rsidRPr="00A42BA3">
        <w:rPr>
          <w:lang w:val="en-GB"/>
        </w:rPr>
        <w:t>Uzimajući u obzir da je AUVN bila svesna o gore opisanim pravilom i budući da takođe nije dostavila nijedan dokaz da podrži da se drugi sprat u potpunosti funkcionalizuje tokom 2025. godine (izgradnja i opremanje sprata tako da se odatle mogu pružiti usluge za avio-kompanije), ACV je odlučila da projekat ne može imati tarifni efekat tokom 2025. godine.</w:t>
      </w:r>
    </w:p>
    <w:p w14:paraId="52115683" w14:textId="77777777" w:rsidR="00A42BA3" w:rsidRPr="00A42BA3" w:rsidRDefault="00A42BA3" w:rsidP="00A42BA3">
      <w:pPr>
        <w:rPr>
          <w:lang w:val="en-GB"/>
        </w:rPr>
      </w:pPr>
      <w:r w:rsidRPr="00A42BA3">
        <w:rPr>
          <w:lang w:val="en-GB"/>
        </w:rPr>
        <w:t>U okviru ukupnih troškova amortizacije i troškova kapitala za 2025. godinu, 68,585 EUR uključeno je kao troškovi AUVN-a za ove nove kapitalne projekte sa očekivanjem da će biti u funkciji za avio-kompanije u vremenskim rokovima utvrđenim od AUVN tokom 2025. godine.</w:t>
      </w:r>
    </w:p>
    <w:p w14:paraId="403467BD" w14:textId="7E30B1EF" w:rsidR="00DA4391" w:rsidRDefault="00A42BA3" w:rsidP="00A42BA3">
      <w:pPr>
        <w:rPr>
          <w:lang w:val="en-GB"/>
        </w:rPr>
      </w:pPr>
      <w:r w:rsidRPr="00A42BA3">
        <w:rPr>
          <w:lang w:val="en-GB"/>
        </w:rPr>
        <w:t>BNRREA će pregledati realizaciju ovih kapitalnih projekata u sledećoj godini. AUVN se obavezuje da zatraži odobrenje od ACV-a za svaku promenu na odobrenim kapitalnim projektima koji će se finansirati sa tarifom za terminalnu jedinicu za 2025</w:t>
      </w:r>
      <w:r w:rsidR="00DA4391" w:rsidRPr="00DA4391">
        <w:rPr>
          <w:lang w:val="en-GB"/>
        </w:rPr>
        <w:t>.</w:t>
      </w:r>
    </w:p>
    <w:p w14:paraId="6E111B89" w14:textId="77777777" w:rsidR="009C6404" w:rsidRDefault="009C6404" w:rsidP="00DA4391">
      <w:pPr>
        <w:rPr>
          <w:lang w:val="en-GB"/>
        </w:rPr>
      </w:pPr>
    </w:p>
    <w:p w14:paraId="3A413F7C" w14:textId="77777777" w:rsidR="00A42BA3" w:rsidRDefault="00A42BA3" w:rsidP="00A42BA3">
      <w:pPr>
        <w:rPr>
          <w:b/>
          <w:bCs/>
          <w:lang w:val="en-GB"/>
        </w:rPr>
      </w:pPr>
      <w:r w:rsidRPr="00A42BA3">
        <w:rPr>
          <w:b/>
          <w:bCs/>
          <w:lang w:val="en-GB"/>
        </w:rPr>
        <w:t>Prognoza terminalnih uslužnih jedinica (TSU) 2025.:</w:t>
      </w:r>
    </w:p>
    <w:p w14:paraId="0DA2391F" w14:textId="77777777" w:rsidR="00A42BA3" w:rsidRPr="00A42BA3" w:rsidRDefault="00A42BA3" w:rsidP="00A42BA3">
      <w:pPr>
        <w:rPr>
          <w:b/>
          <w:bCs/>
          <w:lang w:val="en-GB"/>
        </w:rPr>
      </w:pPr>
    </w:p>
    <w:p w14:paraId="742D52A2" w14:textId="77777777" w:rsidR="00A42BA3" w:rsidRPr="00A42BA3" w:rsidRDefault="00A42BA3" w:rsidP="00A42BA3">
      <w:pPr>
        <w:rPr>
          <w:lang w:val="en-GB"/>
        </w:rPr>
      </w:pPr>
      <w:r w:rsidRPr="00A42BA3">
        <w:rPr>
          <w:lang w:val="en-GB"/>
        </w:rPr>
        <w:t>AUVN je predvidela povećanje TSU-a od 7% za 2025. godinu, odnosno predvidela je da će uslužiti 18,607 jedinica od 17,389 jedinica koliko je prijavila u Tabeli za izveštavanje da će uslužiti tokom 2024. godine. Međutim, u Preliminarni izveštaj uslužnih terminalnih jedinica (TSU) za mesec novembar i decembar 2024. dostavljenih dana 5. decembra 2024. AUVN je izvestila da će uslužiti 17,474 jedinica tokom 2024. godine, od 17,389 jedinica koliko su prvenstveno prijavile. AUVN je prijavila da je prognoza od 7% napravljena na osnovu istorijskih podataka.</w:t>
      </w:r>
    </w:p>
    <w:p w14:paraId="09C801D9" w14:textId="77777777" w:rsidR="00A42BA3" w:rsidRPr="00A42BA3" w:rsidRDefault="00A42BA3" w:rsidP="00A42BA3">
      <w:pPr>
        <w:rPr>
          <w:lang w:val="en-GB"/>
        </w:rPr>
      </w:pPr>
      <w:r w:rsidRPr="00A42BA3">
        <w:rPr>
          <w:lang w:val="en-GB"/>
        </w:rPr>
        <w:t>Tačna prognoza osnove TSU-a (godina n) je od posebnog značaja za AUVN, budući da je na njoj izgrađena prognoza za godinu (n+1), dok pogrešan nalaz implicira velika prilagođavanja u godini n+2.</w:t>
      </w:r>
    </w:p>
    <w:p w14:paraId="58FB9202" w14:textId="77777777" w:rsidR="00A42BA3" w:rsidRPr="00A42BA3" w:rsidRDefault="00A42BA3" w:rsidP="00A42BA3">
      <w:pPr>
        <w:rPr>
          <w:lang w:val="en-GB"/>
        </w:rPr>
      </w:pPr>
      <w:r w:rsidRPr="00A42BA3">
        <w:rPr>
          <w:lang w:val="en-GB"/>
        </w:rPr>
        <w:t xml:space="preserve">Operator aerodroma u komunikaciji upućenoj ACV-u je predvideo da će se 2024. godina završiti sa preko 4 miliona usluženih putnika (17% povećanje u poređenju sa 2023.), odnosno 13,281 polazak leta (14% povećanje u poređenju sa 2023.). Prema LKIA, broj putnika u 2025. godini očekuje se da će imati povećanje za 8% u poređenju na 2024. godinu, dok će se broj letova povećati za 11% (pod prognozi faktora opterećenja od 83% u poređenju sa 85% koliko je bio tokom 2024. godine). Ova prognoza je bazirana na redu letenja za zimsku sezonu 2024/2025. i aplikacija primljenih od avio-kompanije za letnju sezonu 2025. godine. Takođe, prema LKIA, u ovom </w:t>
      </w:r>
      <w:r w:rsidRPr="00A42BA3">
        <w:rPr>
          <w:lang w:val="en-GB"/>
        </w:rPr>
        <w:lastRenderedPageBreak/>
        <w:t>scenariju se uzima za osnovu pružanje programa podsticaja operatera aerodroma LKIA i državni podsticajni program koji se očekuje da se pruži sledeće godine, što će posledično imati pozitivan efekat na saobraćaj.</w:t>
      </w:r>
    </w:p>
    <w:p w14:paraId="461D4F10" w14:textId="77777777" w:rsidR="00A42BA3" w:rsidRPr="00A42BA3" w:rsidRDefault="00A42BA3" w:rsidP="00A42BA3">
      <w:pPr>
        <w:rPr>
          <w:lang w:val="en-GB"/>
        </w:rPr>
      </w:pPr>
      <w:r w:rsidRPr="00A42BA3">
        <w:rPr>
          <w:lang w:val="en-GB"/>
        </w:rPr>
        <w:t>Prognoza operatera aerodroma je podeljena sa AUVN i ovi poslednji nisu imali primedbu ili komentar na ovu prognozu.</w:t>
      </w:r>
    </w:p>
    <w:p w14:paraId="6D6EE7B6" w14:textId="77777777" w:rsidR="00A42BA3" w:rsidRDefault="00A42BA3" w:rsidP="00A42BA3">
      <w:pPr>
        <w:rPr>
          <w:lang w:val="en-GB"/>
        </w:rPr>
      </w:pPr>
      <w:r w:rsidRPr="00A42BA3">
        <w:rPr>
          <w:lang w:val="en-GB"/>
        </w:rPr>
        <w:t>ACV je izvršila kalkulaciju o saobraćaju i predviđenom broju TSU-a tokom 2025. godine na osnovu podataka i prognoze saobraćaja od operatera aerodroma LKIA kao najbolje informisanih podataka o broju letova. ACV očekuje da će se 2024. godina završiti sa 17,474 uslužnih terminalnih jedinica, dok tokom 2025. godine predviđa da će uslužiti 19,222 terminalne jedinice, što je 10% više nego u 2024. godini.</w:t>
      </w:r>
    </w:p>
    <w:p w14:paraId="04E56739" w14:textId="77777777" w:rsidR="00A42BA3" w:rsidRPr="00A42BA3" w:rsidRDefault="00A42BA3" w:rsidP="00A42BA3">
      <w:pPr>
        <w:rPr>
          <w:lang w:val="en-GB"/>
        </w:rPr>
      </w:pPr>
    </w:p>
    <w:p w14:paraId="52BC1538" w14:textId="77777777" w:rsidR="00A42BA3" w:rsidRDefault="00A42BA3" w:rsidP="00A42BA3">
      <w:pPr>
        <w:rPr>
          <w:b/>
          <w:bCs/>
          <w:lang w:val="en-GB"/>
        </w:rPr>
      </w:pPr>
      <w:r w:rsidRPr="00A42BA3">
        <w:rPr>
          <w:b/>
          <w:bCs/>
          <w:lang w:val="en-GB"/>
        </w:rPr>
        <w:t>Prilagođavanje za 2023. godinu:</w:t>
      </w:r>
    </w:p>
    <w:p w14:paraId="24F7BAF7" w14:textId="77777777" w:rsidR="00A42BA3" w:rsidRPr="00A42BA3" w:rsidRDefault="00A42BA3" w:rsidP="00A42BA3">
      <w:pPr>
        <w:rPr>
          <w:b/>
          <w:bCs/>
          <w:lang w:val="en-GB"/>
        </w:rPr>
      </w:pPr>
    </w:p>
    <w:p w14:paraId="1486F8F6" w14:textId="77777777" w:rsidR="00A42BA3" w:rsidRPr="00A42BA3" w:rsidRDefault="00A42BA3" w:rsidP="00A42BA3">
      <w:pPr>
        <w:rPr>
          <w:lang w:val="en-GB"/>
        </w:rPr>
      </w:pPr>
      <w:r w:rsidRPr="00A42BA3">
        <w:rPr>
          <w:lang w:val="en-GB"/>
        </w:rPr>
        <w:t>Na osnovu Aneksa VI Uredbe, nedovoljno ili prekomerno pokriće kao rezultat razlike između prihoda i rashoda za 2023. godinu počinje se prenositi/usklađivati u 2025. godini.</w:t>
      </w:r>
    </w:p>
    <w:p w14:paraId="1909B343" w14:textId="77777777" w:rsidR="00A42BA3" w:rsidRPr="00A42BA3" w:rsidRDefault="00A42BA3" w:rsidP="00A42BA3">
      <w:pPr>
        <w:rPr>
          <w:lang w:val="en-GB"/>
        </w:rPr>
      </w:pPr>
      <w:r w:rsidRPr="00A42BA3">
        <w:rPr>
          <w:lang w:val="en-GB"/>
        </w:rPr>
        <w:t>Što se tiče prilagođavanja, tokom izveštavanja AUVN je tačno izračunala prekomerno pokriće troškova za 2023. godinu od 986,725 EUR i predložila da se ova vrednost vrati avio-kompanijama u naredne 4 godine.</w:t>
      </w:r>
    </w:p>
    <w:p w14:paraId="242EC62B" w14:textId="77777777" w:rsidR="00A42BA3" w:rsidRPr="00A42BA3" w:rsidRDefault="00A42BA3" w:rsidP="00A42BA3">
      <w:pPr>
        <w:rPr>
          <w:lang w:val="en-GB"/>
        </w:rPr>
      </w:pPr>
      <w:r w:rsidRPr="00A42BA3">
        <w:rPr>
          <w:lang w:val="en-GB"/>
        </w:rPr>
        <w:t>Na osnovu finansijskih izveštaja AUVN-a za 2023. godinu, odgovarajućeg prilagođavanja amortizacije i troškova kapitala za kapitalne projekte realizovane tokom 2023. godine, kao i prilagođavanja iz prethodnih godina, proizilazi da je AUVN 2023. godinu zatvorila sa bilansom od 986,725 EUR. Ova vrednost biće vraćena avio-kompanijama tokom 4 godine (246,681 EUR u svakoj godini), i biće joj dodata rata prekomernog pokrića iz 2021. godine u vrednosti od 70,540 EUR i 2022., u vrednosti od 236,677 EUR, što će rezultirati sa vrednošću od 553,897 EUR vrednosti koju AUVN mora vratiti avio-kompanijama tokom 2025. godine.</w:t>
      </w:r>
    </w:p>
    <w:p w14:paraId="31751545" w14:textId="77777777" w:rsidR="00A42BA3" w:rsidRDefault="00A42BA3" w:rsidP="00A42BA3">
      <w:pPr>
        <w:rPr>
          <w:lang w:val="en-GB"/>
        </w:rPr>
      </w:pPr>
      <w:r w:rsidRPr="00A42BA3">
        <w:rPr>
          <w:lang w:val="en-GB"/>
        </w:rPr>
        <w:t>Treba imati u obzir da se prekomerno pokriće, u skladu sa tačkom 67. Priručnika EUROCONTROL-a o tarifama, smatra dugom prema korisnicima i kao takav treba nastojati da se isti vrati korisnicima (avio-kompanijama) u razumnom vremenu, posebno imajući u obzir trenutni kapacitet AUVN-a da vrati ovaj dug.</w:t>
      </w:r>
    </w:p>
    <w:p w14:paraId="138509DA" w14:textId="77777777" w:rsidR="00A42BA3" w:rsidRPr="00A42BA3" w:rsidRDefault="00A42BA3" w:rsidP="00A42BA3">
      <w:pPr>
        <w:rPr>
          <w:lang w:val="en-GB"/>
        </w:rPr>
      </w:pPr>
    </w:p>
    <w:p w14:paraId="5C0908D4" w14:textId="73BDD400" w:rsidR="004757BC" w:rsidRDefault="00A42BA3" w:rsidP="00A42BA3">
      <w:pPr>
        <w:rPr>
          <w:lang w:val="en-GB"/>
        </w:rPr>
      </w:pPr>
      <w:r w:rsidRPr="00A42BA3">
        <w:rPr>
          <w:lang w:val="en-GB"/>
        </w:rPr>
        <w:t>Na osnovu ovih činjenica i razmatranja i imajući u obzir</w:t>
      </w:r>
      <w:r w:rsidR="004757BC">
        <w:rPr>
          <w:lang w:val="en-GB"/>
        </w:rPr>
        <w:t xml:space="preserve">: </w:t>
      </w:r>
    </w:p>
    <w:p w14:paraId="7BCB8BEA" w14:textId="77777777" w:rsidR="004757BC" w:rsidRDefault="004757BC" w:rsidP="00E34ED0">
      <w:pPr>
        <w:rPr>
          <w:lang w:val="en-GB"/>
        </w:rPr>
      </w:pPr>
    </w:p>
    <w:p w14:paraId="38D3DA2E" w14:textId="2860E4C7" w:rsidR="00A42BA3" w:rsidRPr="00A42BA3" w:rsidRDefault="00A42BA3" w:rsidP="00A42BA3">
      <w:pPr>
        <w:pStyle w:val="ListParagraph"/>
        <w:numPr>
          <w:ilvl w:val="0"/>
          <w:numId w:val="3"/>
        </w:numPr>
        <w:rPr>
          <w:lang w:val="en-GB"/>
        </w:rPr>
      </w:pPr>
      <w:r w:rsidRPr="00A42BA3">
        <w:rPr>
          <w:lang w:val="en-GB"/>
        </w:rPr>
        <w:t>Da predlog AVNU-e za terminalnu tarifu 2025., u vrednosti od 361.81 EUR, obračunatu pod prognozi povećanja uslužnih jedinica u 2025., za 7% pod osnovom od 18,607 jedinica, predstavlja smanjenje tarife od 1% u poređenju sa tarifom za 2024. godinu u vrednosti od 360.59 EUR;</w:t>
      </w:r>
    </w:p>
    <w:p w14:paraId="3265F6C5" w14:textId="77777777" w:rsidR="00A42BA3" w:rsidRPr="00A42BA3" w:rsidRDefault="00A42BA3" w:rsidP="00A42BA3">
      <w:pPr>
        <w:pStyle w:val="ListParagraph"/>
        <w:numPr>
          <w:ilvl w:val="0"/>
          <w:numId w:val="3"/>
        </w:numPr>
        <w:rPr>
          <w:lang w:val="en-GB"/>
        </w:rPr>
      </w:pPr>
      <w:r w:rsidRPr="00A42BA3">
        <w:rPr>
          <w:lang w:val="en-GB"/>
        </w:rPr>
        <w:t>Da se AUVN obavezuje prema Uredbi da dokaže napore za poboljšanje efikasnosti troškova, što u uslovima povećanja saobraćaja podrazumeva smanjenje tarife po jedinici;</w:t>
      </w:r>
    </w:p>
    <w:p w14:paraId="0CB8B82A" w14:textId="77777777" w:rsidR="00A42BA3" w:rsidRPr="00A42BA3" w:rsidRDefault="00A42BA3" w:rsidP="00A42BA3">
      <w:pPr>
        <w:pStyle w:val="ListParagraph"/>
        <w:numPr>
          <w:ilvl w:val="0"/>
          <w:numId w:val="3"/>
        </w:numPr>
        <w:rPr>
          <w:lang w:val="en-GB"/>
        </w:rPr>
      </w:pPr>
      <w:r w:rsidRPr="00A42BA3">
        <w:rPr>
          <w:lang w:val="en-GB"/>
        </w:rPr>
        <w:t>Odluku br. 05-V-286, da. 26. maja 2016., kojom je Skupština Republike Kosova uputila ACV-a da preduzme potrebne mere iz svog delokruga za stvaranje veće konkurencije u funkciji smanjenja cena putovanja;</w:t>
      </w:r>
    </w:p>
    <w:p w14:paraId="257DD982" w14:textId="77777777" w:rsidR="00A42BA3" w:rsidRPr="00A42BA3" w:rsidRDefault="00A42BA3" w:rsidP="00A42BA3">
      <w:pPr>
        <w:pStyle w:val="ListParagraph"/>
        <w:numPr>
          <w:ilvl w:val="0"/>
          <w:numId w:val="3"/>
        </w:numPr>
        <w:rPr>
          <w:lang w:val="en-GB"/>
        </w:rPr>
      </w:pPr>
      <w:r w:rsidRPr="00A42BA3">
        <w:rPr>
          <w:lang w:val="en-GB"/>
        </w:rPr>
        <w:t>Da ACV ima za cilj postaviti ravnotežu između operatera koji pružaju usluge pod uslovima prirodnog monopola i onih koji prihvataju ove usluge;</w:t>
      </w:r>
    </w:p>
    <w:p w14:paraId="680E172E" w14:textId="77777777" w:rsidR="00A42BA3" w:rsidRPr="00A42BA3" w:rsidRDefault="00A42BA3" w:rsidP="00A42BA3">
      <w:pPr>
        <w:pStyle w:val="ListParagraph"/>
        <w:numPr>
          <w:ilvl w:val="0"/>
          <w:numId w:val="3"/>
        </w:numPr>
        <w:rPr>
          <w:lang w:val="en-GB"/>
        </w:rPr>
      </w:pPr>
      <w:r w:rsidRPr="00A42BA3">
        <w:rPr>
          <w:lang w:val="en-GB"/>
        </w:rPr>
        <w:t>Financijski podsticaji pruženi od operatera aerodroma i odobreni od ACV-a za povećanje atraktivnosti aerodroma;</w:t>
      </w:r>
    </w:p>
    <w:p w14:paraId="6044876F" w14:textId="7F9C406F" w:rsidR="004757BC" w:rsidRDefault="00A42BA3" w:rsidP="00A42BA3">
      <w:pPr>
        <w:pStyle w:val="ListParagraph"/>
        <w:numPr>
          <w:ilvl w:val="0"/>
          <w:numId w:val="3"/>
        </w:numPr>
        <w:rPr>
          <w:lang w:val="en-GB"/>
        </w:rPr>
      </w:pPr>
      <w:r w:rsidRPr="00A42BA3">
        <w:rPr>
          <w:lang w:val="en-GB"/>
        </w:rPr>
        <w:lastRenderedPageBreak/>
        <w:t>Finansijski podsticaji pruženi od Vlade Republike Kosova za avio-kompanije koje se očekuje da stupe na snagu u ovoj tarifnoj godini</w:t>
      </w:r>
      <w:r w:rsidR="004757BC" w:rsidRPr="004757BC">
        <w:rPr>
          <w:lang w:val="en-GB"/>
        </w:rPr>
        <w:t>;</w:t>
      </w:r>
    </w:p>
    <w:p w14:paraId="4C8E27F4" w14:textId="77777777" w:rsidR="002A33D2" w:rsidRDefault="002A33D2" w:rsidP="002A33D2">
      <w:pPr>
        <w:rPr>
          <w:lang w:val="en-GB"/>
        </w:rPr>
      </w:pPr>
    </w:p>
    <w:p w14:paraId="779B55B0" w14:textId="3444087C" w:rsidR="002A33D2" w:rsidRDefault="00A42BA3" w:rsidP="002A33D2">
      <w:pPr>
        <w:rPr>
          <w:b/>
          <w:bCs/>
          <w:lang w:val="en-GB"/>
        </w:rPr>
      </w:pPr>
      <w:r w:rsidRPr="00A42BA3">
        <w:rPr>
          <w:b/>
          <w:bCs/>
          <w:lang w:val="en-GB"/>
        </w:rPr>
        <w:t>ACV je odlučila da</w:t>
      </w:r>
      <w:r w:rsidR="002A33D2">
        <w:rPr>
          <w:b/>
          <w:bCs/>
          <w:lang w:val="en-GB"/>
        </w:rPr>
        <w:t xml:space="preserve">: </w:t>
      </w:r>
    </w:p>
    <w:p w14:paraId="58D90FFD" w14:textId="77777777" w:rsidR="002A33D2" w:rsidRDefault="002A33D2" w:rsidP="002A33D2">
      <w:pPr>
        <w:rPr>
          <w:b/>
          <w:bCs/>
          <w:lang w:val="en-GB"/>
        </w:rPr>
      </w:pPr>
    </w:p>
    <w:p w14:paraId="1B30711D" w14:textId="77777777" w:rsidR="00A42BA3" w:rsidRPr="00A42BA3" w:rsidRDefault="00A42BA3" w:rsidP="00A42BA3">
      <w:pPr>
        <w:pStyle w:val="ListParagraph"/>
        <w:numPr>
          <w:ilvl w:val="0"/>
          <w:numId w:val="3"/>
        </w:numPr>
        <w:rPr>
          <w:lang w:val="en-GB"/>
        </w:rPr>
      </w:pPr>
      <w:r w:rsidRPr="00A42BA3">
        <w:rPr>
          <w:lang w:val="en-GB"/>
        </w:rPr>
        <w:t>Tarifa terminalne jedinice za 2025. godinu bude 333 EUR;</w:t>
      </w:r>
    </w:p>
    <w:p w14:paraId="3A2E885C" w14:textId="2C7029A6" w:rsidR="002A33D2" w:rsidRDefault="00A42BA3" w:rsidP="00A42BA3">
      <w:pPr>
        <w:pStyle w:val="ListParagraph"/>
        <w:numPr>
          <w:ilvl w:val="0"/>
          <w:numId w:val="3"/>
        </w:numPr>
        <w:rPr>
          <w:lang w:val="en-GB"/>
        </w:rPr>
      </w:pPr>
      <w:r w:rsidRPr="00A42BA3">
        <w:rPr>
          <w:lang w:val="en-GB"/>
        </w:rPr>
        <w:t>Pod prognozi od 10% povećanja broja uslužnih terminalnih jedinica tokom 2025. godine u poređenju sa 2024. godinu, ukupni troškovi AUVN za pružanje kvalitetne i bezbedne usluge tokom 2025. godine, prihvatljive za ACV očekuju se da budu 7.20 miliona EUR. Ovi troškovi biće pokriveni od terminalne tarife navigacije i drugih prihoda</w:t>
      </w:r>
      <w:r w:rsidR="002A33D2" w:rsidRPr="002A33D2">
        <w:rPr>
          <w:lang w:val="en-GB"/>
        </w:rPr>
        <w:t>.</w:t>
      </w:r>
    </w:p>
    <w:p w14:paraId="683189E9" w14:textId="77777777" w:rsidR="002A33D2" w:rsidRDefault="002A33D2" w:rsidP="002A33D2">
      <w:pPr>
        <w:rPr>
          <w:lang w:val="en-GB"/>
        </w:rPr>
      </w:pPr>
    </w:p>
    <w:p w14:paraId="5204910A" w14:textId="78058D75" w:rsidR="002A33D2" w:rsidRDefault="00A42BA3" w:rsidP="002A33D2">
      <w:pPr>
        <w:rPr>
          <w:lang w:val="en-GB"/>
        </w:rPr>
      </w:pPr>
      <w:r w:rsidRPr="00A42BA3">
        <w:rPr>
          <w:lang w:val="en-GB"/>
        </w:rPr>
        <w:t>Uzimajući u obzir činjenice gore pomenute, i u skladu sa članom 14.1, 15.1(f), 21.2 i 81. Zakona br. 03/L-051 o civilnom vazduhoplovstvu izmenjen sa Zakonom br. 08/L-063 o izmeni i dopuni zakona koji se odnose na racionalizaciju i postavljanjem linija odgovornosti nezavisnih agencija, člana 24. Zakona br. 06/L-113 o organizaciji i funkcionisanju državne uprave i nezavisnih agencija, člana 20. Zakona br.04/L-250 o agenciji za vazdušno navigacijske usluge i u skladu sa Uredbom (ACV) o utvrđivanju zajedničke šeme tarifa za usluge vazdušne navigacije, Generalni direktor Autoriteta civilnog vazduhoplovstva Republike Kosova je odlučio kao u dispozitivu ove odluke</w:t>
      </w:r>
      <w:r w:rsidR="002A33D2" w:rsidRPr="002A33D2">
        <w:rPr>
          <w:lang w:val="en-GB"/>
        </w:rPr>
        <w:t>.</w:t>
      </w:r>
    </w:p>
    <w:p w14:paraId="4012BC8C" w14:textId="77777777" w:rsidR="002A33D2" w:rsidRDefault="002A33D2" w:rsidP="002A33D2">
      <w:pPr>
        <w:rPr>
          <w:lang w:val="en-GB"/>
        </w:rPr>
      </w:pPr>
    </w:p>
    <w:p w14:paraId="64F512FB" w14:textId="77777777" w:rsidR="002A33D2" w:rsidRDefault="002A33D2" w:rsidP="002A33D2">
      <w:pPr>
        <w:rPr>
          <w:lang w:val="en-GB"/>
        </w:rPr>
      </w:pPr>
    </w:p>
    <w:p w14:paraId="1C51A2E1" w14:textId="77777777" w:rsidR="002A33D2" w:rsidRDefault="002A33D2" w:rsidP="002A33D2">
      <w:pPr>
        <w:rPr>
          <w:lang w:val="en-GB"/>
        </w:rPr>
      </w:pPr>
    </w:p>
    <w:p w14:paraId="3DD97CE7" w14:textId="0C588479" w:rsidR="002A33D2" w:rsidRDefault="002A33D2" w:rsidP="002A33D2">
      <w:pPr>
        <w:jc w:val="center"/>
        <w:rPr>
          <w:lang w:val="en-GB"/>
        </w:rPr>
      </w:pPr>
      <w:r>
        <w:rPr>
          <w:lang w:val="en-GB"/>
        </w:rPr>
        <w:t>[</w:t>
      </w:r>
      <w:r w:rsidR="00A42BA3" w:rsidRPr="00A42BA3">
        <w:rPr>
          <w:lang w:val="en-GB"/>
        </w:rPr>
        <w:t>Potpis/Pečat</w:t>
      </w:r>
      <w:r>
        <w:rPr>
          <w:lang w:val="en-GB"/>
        </w:rPr>
        <w:t>]</w:t>
      </w:r>
    </w:p>
    <w:p w14:paraId="25191A95" w14:textId="2B05772B" w:rsidR="002A33D2" w:rsidRDefault="002A33D2" w:rsidP="002A33D2">
      <w:pPr>
        <w:jc w:val="center"/>
        <w:rPr>
          <w:b/>
          <w:bCs/>
          <w:lang w:val="en-GB"/>
        </w:rPr>
      </w:pPr>
      <w:r>
        <w:rPr>
          <w:b/>
          <w:bCs/>
          <w:lang w:val="en-GB"/>
        </w:rPr>
        <w:t>Burim Dinarama</w:t>
      </w:r>
    </w:p>
    <w:p w14:paraId="0FCED497" w14:textId="7B9CA7E4" w:rsidR="002A33D2" w:rsidRDefault="00A42BA3" w:rsidP="002A33D2">
      <w:pPr>
        <w:jc w:val="center"/>
        <w:rPr>
          <w:lang w:val="en-GB"/>
        </w:rPr>
      </w:pPr>
      <w:r w:rsidRPr="00A42BA3">
        <w:rPr>
          <w:lang w:val="en-GB"/>
        </w:rPr>
        <w:t xml:space="preserve">V.D. Generalni </w:t>
      </w:r>
      <w:r>
        <w:rPr>
          <w:lang w:val="en-GB"/>
        </w:rPr>
        <w:t>direktor</w:t>
      </w:r>
    </w:p>
    <w:p w14:paraId="3F204BB1" w14:textId="77777777" w:rsidR="00A42BA3" w:rsidRDefault="00A42BA3" w:rsidP="002A33D2">
      <w:pPr>
        <w:jc w:val="center"/>
        <w:rPr>
          <w:lang w:val="en-GB"/>
        </w:rPr>
      </w:pPr>
    </w:p>
    <w:p w14:paraId="7D46E6EF" w14:textId="77777777" w:rsidR="002A33D2" w:rsidRDefault="002A33D2" w:rsidP="002A33D2">
      <w:pPr>
        <w:jc w:val="center"/>
        <w:rPr>
          <w:lang w:val="en-GB"/>
        </w:rPr>
      </w:pPr>
    </w:p>
    <w:p w14:paraId="7D605FA0" w14:textId="77777777" w:rsidR="00A42BA3" w:rsidRDefault="00A42BA3" w:rsidP="00A42BA3">
      <w:pPr>
        <w:rPr>
          <w:b/>
          <w:bCs/>
          <w:lang w:val="en-GB"/>
        </w:rPr>
      </w:pPr>
      <w:r w:rsidRPr="00A42BA3">
        <w:rPr>
          <w:b/>
          <w:bCs/>
          <w:lang w:val="en-GB"/>
        </w:rPr>
        <w:t xml:space="preserve">Uputstvo o pravnom sredstvu: </w:t>
      </w:r>
      <w:r w:rsidRPr="00A42BA3">
        <w:rPr>
          <w:lang w:val="en-GB"/>
        </w:rPr>
        <w:t>U skladu sa članom 15.7 Uredbe br. 3/2016., unutar 7 dana od datuma izdavanja ove Odluke, AUVN može ponovo dostaviti na usvajanje u ACV novi predlog o terminalnoj</w:t>
      </w:r>
      <w:r w:rsidRPr="00A42BA3">
        <w:rPr>
          <w:lang w:val="en-GB"/>
        </w:rPr>
        <w:tab/>
        <w:t>jediničnoj tarifi za 2025. godinu kroz Izveštajne tabele i narativu koji detaljno opisuje obračun svakog od prihvatljivih troškova i dokazuje potrebu za realizaciju ovih troškova tokom 2025. godine. Novi predlog se mora dostaviti u štampanom originalu i elektronskoj kopiji ACV-a</w:t>
      </w:r>
      <w:r w:rsidRPr="00A42BA3">
        <w:rPr>
          <w:b/>
          <w:bCs/>
          <w:lang w:val="en-GB"/>
        </w:rPr>
        <w:t>.</w:t>
      </w:r>
    </w:p>
    <w:p w14:paraId="7F4A526F" w14:textId="77777777" w:rsidR="00A42BA3" w:rsidRPr="00A42BA3" w:rsidRDefault="00A42BA3" w:rsidP="00A42BA3">
      <w:pPr>
        <w:rPr>
          <w:b/>
          <w:bCs/>
          <w:lang w:val="en-GB"/>
        </w:rPr>
      </w:pPr>
    </w:p>
    <w:p w14:paraId="261EDF7F" w14:textId="7541748F" w:rsidR="009D57B7" w:rsidRDefault="00A42BA3" w:rsidP="00A42BA3">
      <w:pPr>
        <w:rPr>
          <w:b/>
          <w:bCs/>
          <w:lang w:val="en-GB"/>
        </w:rPr>
      </w:pPr>
      <w:r w:rsidRPr="00A42BA3">
        <w:rPr>
          <w:b/>
          <w:bCs/>
          <w:lang w:val="en-GB"/>
        </w:rPr>
        <w:t>Dostavlja se</w:t>
      </w:r>
      <w:r w:rsidR="009D57B7">
        <w:rPr>
          <w:b/>
          <w:bCs/>
          <w:lang w:val="en-GB"/>
        </w:rPr>
        <w:t xml:space="preserve">: </w:t>
      </w:r>
    </w:p>
    <w:p w14:paraId="481A469B" w14:textId="77777777" w:rsidR="00A42BA3" w:rsidRPr="00A42BA3" w:rsidRDefault="00A42BA3" w:rsidP="00A42BA3">
      <w:pPr>
        <w:pStyle w:val="ListParagraph"/>
        <w:numPr>
          <w:ilvl w:val="0"/>
          <w:numId w:val="3"/>
        </w:numPr>
        <w:ind w:left="1620"/>
        <w:rPr>
          <w:lang w:val="en-GB"/>
        </w:rPr>
      </w:pPr>
      <w:r w:rsidRPr="00A42BA3">
        <w:rPr>
          <w:lang w:val="en-GB"/>
        </w:rPr>
        <w:t>Agenciji za usluge vazdušne navigacije;</w:t>
      </w:r>
    </w:p>
    <w:p w14:paraId="331387C5" w14:textId="77777777" w:rsidR="00A42BA3" w:rsidRPr="00A42BA3" w:rsidRDefault="00A42BA3" w:rsidP="00A42BA3">
      <w:pPr>
        <w:pStyle w:val="ListParagraph"/>
        <w:numPr>
          <w:ilvl w:val="0"/>
          <w:numId w:val="3"/>
        </w:numPr>
        <w:ind w:left="1620"/>
        <w:rPr>
          <w:lang w:val="en-GB"/>
        </w:rPr>
      </w:pPr>
      <w:r w:rsidRPr="00A42BA3">
        <w:rPr>
          <w:lang w:val="en-GB"/>
        </w:rPr>
        <w:t>Ministru životne sredine, prostornog planiranja i infrastrukture;</w:t>
      </w:r>
    </w:p>
    <w:p w14:paraId="0F4C53C8" w14:textId="77777777" w:rsidR="00A42BA3" w:rsidRPr="00A42BA3" w:rsidRDefault="00A42BA3" w:rsidP="00A42BA3">
      <w:pPr>
        <w:pStyle w:val="ListParagraph"/>
        <w:numPr>
          <w:ilvl w:val="0"/>
          <w:numId w:val="3"/>
        </w:numPr>
        <w:ind w:left="1620"/>
        <w:rPr>
          <w:lang w:val="en-GB"/>
        </w:rPr>
      </w:pPr>
      <w:r w:rsidRPr="00A42BA3">
        <w:rPr>
          <w:lang w:val="en-GB"/>
        </w:rPr>
        <w:t>Komitetu avio-kompanija u MAP “Adem Jashari“;</w:t>
      </w:r>
    </w:p>
    <w:p w14:paraId="7E36D082" w14:textId="77777777" w:rsidR="00A42BA3" w:rsidRPr="00A42BA3" w:rsidRDefault="00A42BA3" w:rsidP="00A42BA3">
      <w:pPr>
        <w:pStyle w:val="ListParagraph"/>
        <w:numPr>
          <w:ilvl w:val="0"/>
          <w:numId w:val="3"/>
        </w:numPr>
        <w:ind w:left="1620"/>
        <w:rPr>
          <w:lang w:val="en-GB"/>
        </w:rPr>
      </w:pPr>
      <w:r w:rsidRPr="00A42BA3">
        <w:rPr>
          <w:lang w:val="en-GB"/>
        </w:rPr>
        <w:t>Centralnom departmanu za javno-privatno partnerstvo, MFRT;</w:t>
      </w:r>
    </w:p>
    <w:p w14:paraId="17E9F58D" w14:textId="77777777" w:rsidR="00A42BA3" w:rsidRPr="00A42BA3" w:rsidRDefault="00A42BA3" w:rsidP="00A42BA3">
      <w:pPr>
        <w:pStyle w:val="ListParagraph"/>
        <w:numPr>
          <w:ilvl w:val="0"/>
          <w:numId w:val="3"/>
        </w:numPr>
        <w:ind w:left="1620"/>
        <w:rPr>
          <w:lang w:val="en-GB"/>
        </w:rPr>
      </w:pPr>
      <w:r w:rsidRPr="00A42BA3">
        <w:rPr>
          <w:lang w:val="en-GB"/>
        </w:rPr>
        <w:t>Međunarodnom aerodromu Priština “Adem Jashari“;</w:t>
      </w:r>
    </w:p>
    <w:p w14:paraId="5D9820CF" w14:textId="057DF27A" w:rsidR="00E34ED0" w:rsidRPr="00E34ED0" w:rsidRDefault="00A42BA3" w:rsidP="00A42BA3">
      <w:pPr>
        <w:pStyle w:val="ListParagraph"/>
        <w:numPr>
          <w:ilvl w:val="0"/>
          <w:numId w:val="3"/>
        </w:numPr>
        <w:ind w:left="1620"/>
        <w:rPr>
          <w:lang w:val="en-GB"/>
        </w:rPr>
      </w:pPr>
      <w:r w:rsidRPr="00A42BA3">
        <w:rPr>
          <w:lang w:val="en-GB"/>
        </w:rPr>
        <w:t>Arhivi ACV-a</w:t>
      </w:r>
      <w:r w:rsidR="00F3197F" w:rsidRPr="00F3197F">
        <w:rPr>
          <w:lang w:val="en-GB"/>
        </w:rPr>
        <w:t>.</w:t>
      </w:r>
    </w:p>
    <w:sectPr w:rsidR="00E34ED0" w:rsidRPr="00E34E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2720" w14:textId="77777777" w:rsidR="00E95E7E" w:rsidRDefault="00E95E7E" w:rsidP="00F758FE">
      <w:r>
        <w:separator/>
      </w:r>
    </w:p>
  </w:endnote>
  <w:endnote w:type="continuationSeparator" w:id="0">
    <w:p w14:paraId="2D587A27" w14:textId="77777777" w:rsidR="00E95E7E" w:rsidRDefault="00E95E7E" w:rsidP="00F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4"/>
      </w:rPr>
      <w:id w:val="-1893886057"/>
      <w:docPartObj>
        <w:docPartGallery w:val="Page Numbers (Bottom of Page)"/>
        <w:docPartUnique/>
      </w:docPartObj>
    </w:sdtPr>
    <w:sdtEndPr>
      <w:rPr>
        <w:noProof/>
        <w:sz w:val="18"/>
        <w:szCs w:val="16"/>
      </w:rPr>
    </w:sdtEndPr>
    <w:sdtContent>
      <w:p w14:paraId="5BBD9958" w14:textId="77777777" w:rsidR="00F758FE" w:rsidRPr="00F758FE" w:rsidRDefault="00F758FE">
        <w:pPr>
          <w:pStyle w:val="Footer"/>
          <w:jc w:val="right"/>
          <w:rPr>
            <w:noProof/>
            <w:sz w:val="18"/>
            <w:szCs w:val="16"/>
          </w:rPr>
        </w:pPr>
        <w:r w:rsidRPr="00F758FE">
          <w:rPr>
            <w:sz w:val="18"/>
            <w:szCs w:val="16"/>
          </w:rPr>
          <w:fldChar w:fldCharType="begin"/>
        </w:r>
        <w:r w:rsidRPr="00F758FE">
          <w:rPr>
            <w:sz w:val="18"/>
            <w:szCs w:val="16"/>
          </w:rPr>
          <w:instrText xml:space="preserve"> PAGE   \* MERGEFORMAT </w:instrText>
        </w:r>
        <w:r w:rsidRPr="00F758FE">
          <w:rPr>
            <w:sz w:val="18"/>
            <w:szCs w:val="16"/>
          </w:rPr>
          <w:fldChar w:fldCharType="separate"/>
        </w:r>
        <w:r w:rsidRPr="00F758FE">
          <w:rPr>
            <w:noProof/>
            <w:sz w:val="18"/>
            <w:szCs w:val="16"/>
          </w:rPr>
          <w:t>2</w:t>
        </w:r>
        <w:r w:rsidRPr="00F758FE">
          <w:rPr>
            <w:noProof/>
            <w:sz w:val="18"/>
            <w:szCs w:val="16"/>
          </w:rPr>
          <w:fldChar w:fldCharType="end"/>
        </w:r>
      </w:p>
      <w:p w14:paraId="506CC619" w14:textId="16E92935" w:rsidR="00F758FE" w:rsidRPr="00F758FE" w:rsidRDefault="00F758FE">
        <w:pPr>
          <w:pStyle w:val="Footer"/>
          <w:jc w:val="right"/>
          <w:rPr>
            <w:noProof/>
            <w:sz w:val="18"/>
            <w:szCs w:val="16"/>
          </w:rPr>
        </w:pPr>
        <w:r w:rsidRPr="00F758FE">
          <w:rPr>
            <w:noProof/>
            <w:sz w:val="18"/>
            <w:szCs w:val="16"/>
          </w:rPr>
          <w:t xml:space="preserve">Tel: +383 (0)38 20074278 | </w:t>
        </w:r>
        <w:hyperlink r:id="rId1" w:history="1">
          <w:r w:rsidRPr="00F758FE">
            <w:rPr>
              <w:rStyle w:val="Hyperlink"/>
              <w:noProof/>
              <w:sz w:val="18"/>
              <w:szCs w:val="16"/>
            </w:rPr>
            <w:t>infocaa@caa-ks.org</w:t>
          </w:r>
        </w:hyperlink>
        <w:r w:rsidRPr="00F758FE">
          <w:rPr>
            <w:noProof/>
            <w:sz w:val="18"/>
            <w:szCs w:val="16"/>
          </w:rPr>
          <w:t xml:space="preserve"> | </w:t>
        </w:r>
        <w:hyperlink r:id="rId2" w:history="1">
          <w:r w:rsidRPr="00F758FE">
            <w:rPr>
              <w:rStyle w:val="Hyperlink"/>
              <w:noProof/>
              <w:sz w:val="18"/>
              <w:szCs w:val="16"/>
            </w:rPr>
            <w:t>www.caa-ks.org</w:t>
          </w:r>
        </w:hyperlink>
      </w:p>
      <w:p w14:paraId="5733E322" w14:textId="44A9D170" w:rsidR="00F758FE" w:rsidRPr="00F758FE" w:rsidRDefault="00A42BA3">
        <w:pPr>
          <w:pStyle w:val="Footer"/>
          <w:jc w:val="right"/>
          <w:rPr>
            <w:sz w:val="18"/>
            <w:szCs w:val="16"/>
          </w:rPr>
        </w:pPr>
        <w:r w:rsidRPr="00A42BA3">
          <w:rPr>
            <w:noProof/>
            <w:sz w:val="18"/>
            <w:szCs w:val="16"/>
          </w:rPr>
          <w:t>Ulica Zejnel Salihu br</w:t>
        </w:r>
        <w:r w:rsidR="00F758FE" w:rsidRPr="00F758FE">
          <w:rPr>
            <w:noProof/>
            <w:sz w:val="18"/>
            <w:szCs w:val="16"/>
          </w:rPr>
          <w:t xml:space="preserve">. 22, | 10000 </w:t>
        </w:r>
        <w:r w:rsidRPr="00A42BA3">
          <w:rPr>
            <w:noProof/>
            <w:sz w:val="18"/>
            <w:szCs w:val="16"/>
          </w:rPr>
          <w:t>Priština, Republika Kosovo</w:t>
        </w:r>
      </w:p>
    </w:sdtContent>
  </w:sdt>
  <w:p w14:paraId="2BDBB7FE" w14:textId="77777777" w:rsidR="00F758FE" w:rsidRDefault="00F7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BC94" w14:textId="77777777" w:rsidR="00E95E7E" w:rsidRDefault="00E95E7E" w:rsidP="00F758FE">
      <w:r>
        <w:separator/>
      </w:r>
    </w:p>
  </w:footnote>
  <w:footnote w:type="continuationSeparator" w:id="0">
    <w:p w14:paraId="073AA936" w14:textId="77777777" w:rsidR="00E95E7E" w:rsidRDefault="00E95E7E" w:rsidP="00F7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1A4A"/>
    <w:multiLevelType w:val="hybridMultilevel"/>
    <w:tmpl w:val="13565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E7BE7"/>
    <w:multiLevelType w:val="hybridMultilevel"/>
    <w:tmpl w:val="2B12B2E0"/>
    <w:lvl w:ilvl="0" w:tplc="E18EB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B7F07"/>
    <w:multiLevelType w:val="multilevel"/>
    <w:tmpl w:val="29B2FE56"/>
    <w:lvl w:ilvl="0">
      <w:start w:val="1"/>
      <w:numFmt w:val="bullet"/>
      <w:lvlText w:val="•"/>
      <w:lvlJc w:val="left"/>
      <w:rPr>
        <w:rFonts w:ascii="Times New Roman" w:eastAsia="Times New Roman" w:hAnsi="Times New Roman" w:cs="Times New Roman"/>
        <w:b w:val="0"/>
        <w:bCs w:val="0"/>
        <w:i w:val="0"/>
        <w:iCs w:val="0"/>
        <w:smallCaps w:val="0"/>
        <w:strike w:val="0"/>
        <w:color w:val="4F4F51"/>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E948F0"/>
    <w:multiLevelType w:val="multilevel"/>
    <w:tmpl w:val="A2BC98B0"/>
    <w:lvl w:ilvl="0">
      <w:start w:val="1"/>
      <w:numFmt w:val="lowerLetter"/>
      <w:lvlText w:val="%1)"/>
      <w:lvlJc w:val="left"/>
      <w:rPr>
        <w:rFonts w:ascii="Times New Roman" w:eastAsia="Times New Roman" w:hAnsi="Times New Roman" w:cs="Times New Roman"/>
        <w:b/>
        <w:bCs/>
        <w:i w:val="0"/>
        <w:iCs w:val="0"/>
        <w:smallCaps w:val="0"/>
        <w:strike w:val="0"/>
        <w:color w:val="383839"/>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FC5FAF"/>
    <w:multiLevelType w:val="hybridMultilevel"/>
    <w:tmpl w:val="126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04A60"/>
    <w:multiLevelType w:val="hybridMultilevel"/>
    <w:tmpl w:val="C9020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124309">
    <w:abstractNumId w:val="1"/>
  </w:num>
  <w:num w:numId="2" w16cid:durableId="2120490758">
    <w:abstractNumId w:val="5"/>
  </w:num>
  <w:num w:numId="3" w16cid:durableId="1999574833">
    <w:abstractNumId w:val="4"/>
  </w:num>
  <w:num w:numId="4" w16cid:durableId="1369912296">
    <w:abstractNumId w:val="0"/>
  </w:num>
  <w:num w:numId="5" w16cid:durableId="1707025747">
    <w:abstractNumId w:val="2"/>
  </w:num>
  <w:num w:numId="6" w16cid:durableId="1214585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5"/>
    <w:rsid w:val="00010EA7"/>
    <w:rsid w:val="000256FE"/>
    <w:rsid w:val="00082FDE"/>
    <w:rsid w:val="00086AE2"/>
    <w:rsid w:val="000A4B33"/>
    <w:rsid w:val="001108E8"/>
    <w:rsid w:val="00112522"/>
    <w:rsid w:val="00122DFD"/>
    <w:rsid w:val="00285B58"/>
    <w:rsid w:val="002A33D2"/>
    <w:rsid w:val="002C2275"/>
    <w:rsid w:val="002E0C02"/>
    <w:rsid w:val="002E3FF8"/>
    <w:rsid w:val="002F30A5"/>
    <w:rsid w:val="0032474D"/>
    <w:rsid w:val="00384C8A"/>
    <w:rsid w:val="003B2A80"/>
    <w:rsid w:val="003E002E"/>
    <w:rsid w:val="00404971"/>
    <w:rsid w:val="00404A79"/>
    <w:rsid w:val="00451711"/>
    <w:rsid w:val="004757BC"/>
    <w:rsid w:val="004942CB"/>
    <w:rsid w:val="004F404C"/>
    <w:rsid w:val="006364E6"/>
    <w:rsid w:val="00641BD5"/>
    <w:rsid w:val="006F2718"/>
    <w:rsid w:val="007975B4"/>
    <w:rsid w:val="007F7D48"/>
    <w:rsid w:val="0089437E"/>
    <w:rsid w:val="008949B3"/>
    <w:rsid w:val="008A263C"/>
    <w:rsid w:val="008C4B4D"/>
    <w:rsid w:val="0091245D"/>
    <w:rsid w:val="00984621"/>
    <w:rsid w:val="009A3F3E"/>
    <w:rsid w:val="009B0E33"/>
    <w:rsid w:val="009C475A"/>
    <w:rsid w:val="009C6404"/>
    <w:rsid w:val="009D50F3"/>
    <w:rsid w:val="009D57B7"/>
    <w:rsid w:val="00A0630E"/>
    <w:rsid w:val="00A42BA3"/>
    <w:rsid w:val="00A5256F"/>
    <w:rsid w:val="00A610F8"/>
    <w:rsid w:val="00A74069"/>
    <w:rsid w:val="00AC504D"/>
    <w:rsid w:val="00AE625C"/>
    <w:rsid w:val="00B4224B"/>
    <w:rsid w:val="00B929D5"/>
    <w:rsid w:val="00C62802"/>
    <w:rsid w:val="00C76090"/>
    <w:rsid w:val="00CB2FFA"/>
    <w:rsid w:val="00D1568E"/>
    <w:rsid w:val="00D15B2C"/>
    <w:rsid w:val="00DA3606"/>
    <w:rsid w:val="00DA4391"/>
    <w:rsid w:val="00DD1F1C"/>
    <w:rsid w:val="00E05BD8"/>
    <w:rsid w:val="00E34ED0"/>
    <w:rsid w:val="00E533FB"/>
    <w:rsid w:val="00E95E7E"/>
    <w:rsid w:val="00EB41C9"/>
    <w:rsid w:val="00F3197F"/>
    <w:rsid w:val="00F7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524B"/>
  <w15:chartTrackingRefBased/>
  <w15:docId w15:val="{AD7807D2-9F57-4B70-99CB-69A988F6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8E8"/>
    <w:pPr>
      <w:ind w:left="720"/>
      <w:contextualSpacing/>
    </w:pPr>
  </w:style>
  <w:style w:type="paragraph" w:styleId="Header">
    <w:name w:val="header"/>
    <w:basedOn w:val="Normal"/>
    <w:link w:val="HeaderChar"/>
    <w:uiPriority w:val="99"/>
    <w:unhideWhenUsed/>
    <w:rsid w:val="00F758FE"/>
    <w:pPr>
      <w:tabs>
        <w:tab w:val="center" w:pos="4680"/>
        <w:tab w:val="right" w:pos="9360"/>
      </w:tabs>
    </w:pPr>
  </w:style>
  <w:style w:type="character" w:customStyle="1" w:styleId="HeaderChar">
    <w:name w:val="Header Char"/>
    <w:basedOn w:val="DefaultParagraphFont"/>
    <w:link w:val="Header"/>
    <w:uiPriority w:val="99"/>
    <w:rsid w:val="00F758FE"/>
  </w:style>
  <w:style w:type="paragraph" w:styleId="Footer">
    <w:name w:val="footer"/>
    <w:basedOn w:val="Normal"/>
    <w:link w:val="FooterChar"/>
    <w:uiPriority w:val="99"/>
    <w:unhideWhenUsed/>
    <w:rsid w:val="00F758FE"/>
    <w:pPr>
      <w:tabs>
        <w:tab w:val="center" w:pos="4680"/>
        <w:tab w:val="right" w:pos="9360"/>
      </w:tabs>
    </w:pPr>
  </w:style>
  <w:style w:type="character" w:customStyle="1" w:styleId="FooterChar">
    <w:name w:val="Footer Char"/>
    <w:basedOn w:val="DefaultParagraphFont"/>
    <w:link w:val="Footer"/>
    <w:uiPriority w:val="99"/>
    <w:rsid w:val="00F758FE"/>
  </w:style>
  <w:style w:type="character" w:styleId="Hyperlink">
    <w:name w:val="Hyperlink"/>
    <w:basedOn w:val="DefaultParagraphFont"/>
    <w:uiPriority w:val="99"/>
    <w:unhideWhenUsed/>
    <w:rsid w:val="00F758FE"/>
    <w:rPr>
      <w:color w:val="0563C1" w:themeColor="hyperlink"/>
      <w:u w:val="single"/>
    </w:rPr>
  </w:style>
  <w:style w:type="character" w:styleId="UnresolvedMention">
    <w:name w:val="Unresolved Mention"/>
    <w:basedOn w:val="DefaultParagraphFont"/>
    <w:uiPriority w:val="99"/>
    <w:semiHidden/>
    <w:unhideWhenUsed/>
    <w:rsid w:val="00F758FE"/>
    <w:rPr>
      <w:color w:val="605E5C"/>
      <w:shd w:val="clear" w:color="auto" w:fill="E1DFDD"/>
    </w:rPr>
  </w:style>
  <w:style w:type="character" w:customStyle="1" w:styleId="CharStyle6">
    <w:name w:val="Char Style 6"/>
    <w:basedOn w:val="DefaultParagraphFont"/>
    <w:link w:val="Style5"/>
    <w:rsid w:val="003E002E"/>
    <w:rPr>
      <w:color w:val="BCCBDB"/>
      <w:sz w:val="28"/>
      <w:szCs w:val="28"/>
    </w:rPr>
  </w:style>
  <w:style w:type="character" w:customStyle="1" w:styleId="CharStyle18">
    <w:name w:val="Char Style 18"/>
    <w:basedOn w:val="DefaultParagraphFont"/>
    <w:link w:val="Style17"/>
    <w:rsid w:val="003E002E"/>
    <w:rPr>
      <w:rFonts w:ascii="Arial" w:eastAsia="Arial" w:hAnsi="Arial" w:cs="Arial"/>
      <w:color w:val="4F4F51"/>
      <w:sz w:val="14"/>
      <w:szCs w:val="14"/>
    </w:rPr>
  </w:style>
  <w:style w:type="character" w:customStyle="1" w:styleId="CharStyle27">
    <w:name w:val="Char Style 27"/>
    <w:basedOn w:val="DefaultParagraphFont"/>
    <w:link w:val="Style26"/>
    <w:rsid w:val="003E002E"/>
    <w:rPr>
      <w:color w:val="383839"/>
      <w:sz w:val="20"/>
      <w:szCs w:val="20"/>
    </w:rPr>
  </w:style>
  <w:style w:type="paragraph" w:customStyle="1" w:styleId="Style5">
    <w:name w:val="Style 5"/>
    <w:basedOn w:val="Normal"/>
    <w:link w:val="CharStyle6"/>
    <w:rsid w:val="003E002E"/>
    <w:pPr>
      <w:widowControl w:val="0"/>
      <w:jc w:val="left"/>
    </w:pPr>
    <w:rPr>
      <w:color w:val="BCCBDB"/>
      <w:sz w:val="28"/>
      <w:szCs w:val="28"/>
    </w:rPr>
  </w:style>
  <w:style w:type="paragraph" w:customStyle="1" w:styleId="Style17">
    <w:name w:val="Style 17"/>
    <w:basedOn w:val="Normal"/>
    <w:link w:val="CharStyle18"/>
    <w:rsid w:val="003E002E"/>
    <w:pPr>
      <w:widowControl w:val="0"/>
      <w:spacing w:line="271" w:lineRule="auto"/>
      <w:ind w:left="5340"/>
      <w:jc w:val="right"/>
    </w:pPr>
    <w:rPr>
      <w:rFonts w:ascii="Arial" w:eastAsia="Arial" w:hAnsi="Arial" w:cs="Arial"/>
      <w:color w:val="4F4F51"/>
      <w:sz w:val="14"/>
      <w:szCs w:val="14"/>
    </w:rPr>
  </w:style>
  <w:style w:type="paragraph" w:customStyle="1" w:styleId="Style26">
    <w:name w:val="Style 26"/>
    <w:basedOn w:val="Normal"/>
    <w:link w:val="CharStyle27"/>
    <w:rsid w:val="003E002E"/>
    <w:pPr>
      <w:widowControl w:val="0"/>
      <w:spacing w:line="264" w:lineRule="auto"/>
      <w:jc w:val="left"/>
    </w:pPr>
    <w:rPr>
      <w:color w:val="383839"/>
      <w:sz w:val="20"/>
      <w:szCs w:val="20"/>
    </w:rPr>
  </w:style>
  <w:style w:type="character" w:customStyle="1" w:styleId="CharStyle30">
    <w:name w:val="Char Style 30"/>
    <w:basedOn w:val="DefaultParagraphFont"/>
    <w:link w:val="Style29"/>
    <w:rsid w:val="003E002E"/>
    <w:rPr>
      <w:b/>
      <w:bCs/>
      <w:color w:val="383839"/>
      <w:sz w:val="20"/>
      <w:szCs w:val="20"/>
    </w:rPr>
  </w:style>
  <w:style w:type="paragraph" w:customStyle="1" w:styleId="Style29">
    <w:name w:val="Style 29"/>
    <w:basedOn w:val="Normal"/>
    <w:link w:val="CharStyle30"/>
    <w:rsid w:val="003E002E"/>
    <w:pPr>
      <w:widowControl w:val="0"/>
      <w:spacing w:after="240" w:line="264" w:lineRule="auto"/>
      <w:jc w:val="left"/>
      <w:outlineLvl w:val="1"/>
    </w:pPr>
    <w:rPr>
      <w:b/>
      <w:bCs/>
      <w:color w:val="38383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a-ks.org" TargetMode="External"/><Relationship Id="rId1" Type="http://schemas.openxmlformats.org/officeDocument/2006/relationships/hyperlink" Target="mailto:infocaa@ca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3435</Words>
  <Characters>19584</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Merite Hajrullahu</dc:creator>
  <cp:keywords/>
  <dc:description/>
  <cp:lastModifiedBy>Granit Berisha</cp:lastModifiedBy>
  <cp:revision>2</cp:revision>
  <dcterms:created xsi:type="dcterms:W3CDTF">2025-02-10T09:28:00Z</dcterms:created>
  <dcterms:modified xsi:type="dcterms:W3CDTF">2025-02-10T09:28:00Z</dcterms:modified>
</cp:coreProperties>
</file>