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E2" w:rsidRPr="00166313" w:rsidRDefault="00D244E2" w:rsidP="00D244E2">
      <w:pPr>
        <w:ind w:left="5040" w:firstLine="720"/>
        <w:rPr>
          <w:rFonts w:ascii="Book Antiqua" w:hAnsi="Book Antiqua"/>
          <w:b/>
          <w:sz w:val="22"/>
          <w:szCs w:val="22"/>
          <w:lang w:val="sq-AL"/>
        </w:rPr>
      </w:pPr>
      <w:bookmarkStart w:id="0" w:name="_GoBack"/>
      <w:bookmarkEnd w:id="0"/>
    </w:p>
    <w:p w:rsidR="00D244E2" w:rsidRPr="00166313" w:rsidRDefault="00D244E2" w:rsidP="00D244E2">
      <w:pPr>
        <w:ind w:left="5040" w:firstLine="720"/>
        <w:rPr>
          <w:rFonts w:ascii="Book Antiqua" w:hAnsi="Book Antiqua"/>
          <w:b/>
          <w:sz w:val="22"/>
          <w:szCs w:val="22"/>
          <w:lang w:val="sq-AL"/>
        </w:rPr>
      </w:pPr>
    </w:p>
    <w:p w:rsidR="00D244E2" w:rsidRPr="00166313" w:rsidRDefault="00D244E2" w:rsidP="00D244E2">
      <w:pPr>
        <w:ind w:left="5040" w:firstLine="720"/>
        <w:rPr>
          <w:rFonts w:ascii="Book Antiqua" w:hAnsi="Book Antiqua"/>
          <w:b/>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166313" w:rsidRDefault="00664C95" w:rsidP="00664C95">
      <w:pPr>
        <w:rPr>
          <w:rFonts w:ascii="Book Antiqua" w:hAnsi="Book Antiqua"/>
          <w:sz w:val="22"/>
          <w:szCs w:val="22"/>
          <w:lang w:val="sq-AL"/>
        </w:rPr>
      </w:pPr>
    </w:p>
    <w:p w:rsidR="00664C95" w:rsidRPr="002B1922" w:rsidRDefault="00431D81" w:rsidP="00664C95">
      <w:pPr>
        <w:tabs>
          <w:tab w:val="left" w:pos="4035"/>
        </w:tabs>
        <w:jc w:val="center"/>
        <w:rPr>
          <w:rFonts w:ascii="Book Antiqua" w:hAnsi="Book Antiqua"/>
          <w:b/>
          <w:sz w:val="28"/>
          <w:szCs w:val="28"/>
          <w:lang w:val="sq-AL"/>
        </w:rPr>
      </w:pPr>
      <w:r w:rsidRPr="002B1922">
        <w:rPr>
          <w:rFonts w:ascii="Book Antiqua" w:hAnsi="Book Antiqua"/>
          <w:b/>
          <w:sz w:val="28"/>
          <w:szCs w:val="28"/>
          <w:lang w:val="sq-AL"/>
        </w:rPr>
        <w:t>RAPORT</w:t>
      </w:r>
      <w:r w:rsidR="00413E14" w:rsidRPr="002B1922">
        <w:rPr>
          <w:rFonts w:ascii="Book Antiqua" w:hAnsi="Book Antiqua"/>
          <w:b/>
          <w:sz w:val="28"/>
          <w:szCs w:val="28"/>
          <w:lang w:val="sq-AL"/>
        </w:rPr>
        <w:t xml:space="preserve"> MBI</w:t>
      </w:r>
    </w:p>
    <w:p w:rsidR="00413E14" w:rsidRPr="002B1922" w:rsidRDefault="00431D81" w:rsidP="00664C95">
      <w:pPr>
        <w:tabs>
          <w:tab w:val="left" w:pos="4035"/>
        </w:tabs>
        <w:jc w:val="center"/>
        <w:rPr>
          <w:rFonts w:ascii="Book Antiqua" w:hAnsi="Book Antiqua"/>
          <w:b/>
          <w:sz w:val="28"/>
          <w:szCs w:val="28"/>
          <w:lang w:val="sq-AL"/>
        </w:rPr>
      </w:pPr>
      <w:r w:rsidRPr="002B1922">
        <w:rPr>
          <w:rFonts w:ascii="Book Antiqua" w:hAnsi="Book Antiqua"/>
          <w:b/>
          <w:sz w:val="28"/>
          <w:szCs w:val="28"/>
          <w:lang w:val="sq-AL"/>
        </w:rPr>
        <w:t>KONSULTIMI</w:t>
      </w:r>
      <w:r w:rsidR="00492266" w:rsidRPr="002B1922">
        <w:rPr>
          <w:rFonts w:ascii="Book Antiqua" w:hAnsi="Book Antiqua"/>
          <w:b/>
          <w:sz w:val="28"/>
          <w:szCs w:val="28"/>
          <w:lang w:val="sq-AL"/>
        </w:rPr>
        <w:t>N</w:t>
      </w:r>
      <w:r w:rsidRPr="002B1922">
        <w:rPr>
          <w:rFonts w:ascii="Book Antiqua" w:hAnsi="Book Antiqua"/>
          <w:b/>
          <w:sz w:val="28"/>
          <w:szCs w:val="28"/>
          <w:lang w:val="sq-AL"/>
        </w:rPr>
        <w:t xml:space="preserve"> PUBLIK</w:t>
      </w:r>
      <w:r w:rsidR="00413E14" w:rsidRPr="002B1922">
        <w:rPr>
          <w:rFonts w:ascii="Book Antiqua" w:hAnsi="Book Antiqua"/>
          <w:b/>
          <w:sz w:val="28"/>
          <w:szCs w:val="28"/>
          <w:lang w:val="sq-AL"/>
        </w:rPr>
        <w:t xml:space="preserve"> T</w:t>
      </w:r>
      <w:r w:rsidR="00E14869" w:rsidRPr="002B1922">
        <w:rPr>
          <w:rFonts w:ascii="Book Antiqua" w:hAnsi="Book Antiqua"/>
          <w:b/>
          <w:sz w:val="28"/>
          <w:szCs w:val="28"/>
          <w:lang w:val="sq-AL"/>
        </w:rPr>
        <w:t>Ë</w:t>
      </w:r>
      <w:r w:rsidR="00413E14" w:rsidRPr="002B1922">
        <w:rPr>
          <w:rFonts w:ascii="Book Antiqua" w:hAnsi="Book Antiqua"/>
          <w:b/>
          <w:sz w:val="28"/>
          <w:szCs w:val="28"/>
          <w:lang w:val="sq-AL"/>
        </w:rPr>
        <w:t xml:space="preserve"> PAL</w:t>
      </w:r>
      <w:r w:rsidR="00E14869" w:rsidRPr="002B1922">
        <w:rPr>
          <w:rFonts w:ascii="Book Antiqua" w:hAnsi="Book Antiqua"/>
          <w:b/>
          <w:sz w:val="28"/>
          <w:szCs w:val="28"/>
          <w:lang w:val="sq-AL"/>
        </w:rPr>
        <w:t>Ë</w:t>
      </w:r>
      <w:r w:rsidR="00413E14" w:rsidRPr="002B1922">
        <w:rPr>
          <w:rFonts w:ascii="Book Antiqua" w:hAnsi="Book Antiqua"/>
          <w:b/>
          <w:sz w:val="28"/>
          <w:szCs w:val="28"/>
          <w:lang w:val="sq-AL"/>
        </w:rPr>
        <w:t>VE T</w:t>
      </w:r>
      <w:r w:rsidR="00E14869" w:rsidRPr="002B1922">
        <w:rPr>
          <w:rFonts w:ascii="Book Antiqua" w:hAnsi="Book Antiqua"/>
          <w:b/>
          <w:sz w:val="28"/>
          <w:szCs w:val="28"/>
          <w:lang w:val="sq-AL"/>
        </w:rPr>
        <w:t>Ë</w:t>
      </w:r>
      <w:r w:rsidR="00413E14" w:rsidRPr="002B1922">
        <w:rPr>
          <w:rFonts w:ascii="Book Antiqua" w:hAnsi="Book Antiqua"/>
          <w:b/>
          <w:sz w:val="28"/>
          <w:szCs w:val="28"/>
          <w:lang w:val="sq-AL"/>
        </w:rPr>
        <w:t xml:space="preserve"> INTERESIT</w:t>
      </w:r>
    </w:p>
    <w:p w:rsidR="00431D81" w:rsidRPr="002B1922" w:rsidRDefault="00431D81" w:rsidP="00664C95">
      <w:pPr>
        <w:tabs>
          <w:tab w:val="left" w:pos="4035"/>
        </w:tabs>
        <w:jc w:val="center"/>
        <w:rPr>
          <w:rFonts w:ascii="Book Antiqua" w:hAnsi="Book Antiqua"/>
          <w:b/>
          <w:sz w:val="28"/>
          <w:szCs w:val="28"/>
          <w:lang w:val="sq-AL"/>
        </w:rPr>
      </w:pPr>
      <w:r w:rsidRPr="002B1922">
        <w:rPr>
          <w:rFonts w:ascii="Book Antiqua" w:hAnsi="Book Antiqua"/>
          <w:b/>
          <w:sz w:val="28"/>
          <w:szCs w:val="28"/>
          <w:lang w:val="sq-AL"/>
        </w:rPr>
        <w:t xml:space="preserve"> NR. </w:t>
      </w:r>
      <w:r w:rsidR="00E47956">
        <w:rPr>
          <w:rFonts w:ascii="Book Antiqua" w:hAnsi="Book Antiqua"/>
          <w:b/>
          <w:sz w:val="28"/>
          <w:szCs w:val="28"/>
          <w:lang w:val="sq-AL"/>
        </w:rPr>
        <w:t>3</w:t>
      </w:r>
      <w:r w:rsidR="000D70A4" w:rsidRPr="002B1922">
        <w:rPr>
          <w:rFonts w:ascii="Book Antiqua" w:hAnsi="Book Antiqua"/>
          <w:b/>
          <w:sz w:val="28"/>
          <w:szCs w:val="28"/>
          <w:lang w:val="sq-AL"/>
        </w:rPr>
        <w:t>/201</w:t>
      </w:r>
      <w:r w:rsidR="00D23395" w:rsidRPr="002B1922">
        <w:rPr>
          <w:rFonts w:ascii="Book Antiqua" w:hAnsi="Book Antiqua"/>
          <w:b/>
          <w:sz w:val="28"/>
          <w:szCs w:val="28"/>
          <w:lang w:val="sq-AL"/>
        </w:rPr>
        <w:t>5</w:t>
      </w: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jc w:val="center"/>
        <w:rPr>
          <w:rFonts w:ascii="Book Antiqua" w:hAnsi="Book Antiqua"/>
          <w:sz w:val="22"/>
          <w:szCs w:val="22"/>
          <w:lang w:val="sq-AL"/>
        </w:rPr>
      </w:pPr>
    </w:p>
    <w:p w:rsidR="00664C95" w:rsidRPr="00166313" w:rsidRDefault="00E47956" w:rsidP="00664C95">
      <w:pPr>
        <w:tabs>
          <w:tab w:val="left" w:pos="4035"/>
        </w:tabs>
        <w:jc w:val="center"/>
        <w:rPr>
          <w:rFonts w:ascii="Book Antiqua" w:hAnsi="Book Antiqua"/>
          <w:sz w:val="22"/>
          <w:szCs w:val="22"/>
          <w:lang w:val="sq-AL"/>
        </w:rPr>
      </w:pPr>
      <w:r>
        <w:rPr>
          <w:rFonts w:ascii="Book Antiqua" w:hAnsi="Book Antiqua"/>
          <w:sz w:val="22"/>
          <w:szCs w:val="22"/>
          <w:lang w:val="sq-AL"/>
        </w:rPr>
        <w:t>15 shtator</w:t>
      </w:r>
      <w:r w:rsidR="00664C95" w:rsidRPr="00166313">
        <w:rPr>
          <w:rFonts w:ascii="Book Antiqua" w:hAnsi="Book Antiqua"/>
          <w:sz w:val="22"/>
          <w:szCs w:val="22"/>
          <w:lang w:val="sq-AL"/>
        </w:rPr>
        <w:t xml:space="preserve"> 201</w:t>
      </w:r>
      <w:r w:rsidR="00D23395" w:rsidRPr="00166313">
        <w:rPr>
          <w:rFonts w:ascii="Book Antiqua" w:hAnsi="Book Antiqua"/>
          <w:sz w:val="22"/>
          <w:szCs w:val="22"/>
          <w:lang w:val="sq-AL"/>
        </w:rPr>
        <w:t>5</w:t>
      </w:r>
    </w:p>
    <w:p w:rsidR="00664C95" w:rsidRPr="00166313" w:rsidRDefault="00664C95" w:rsidP="00664C95">
      <w:pPr>
        <w:tabs>
          <w:tab w:val="left" w:pos="4035"/>
        </w:tabs>
        <w:rPr>
          <w:rFonts w:ascii="Book Antiqua" w:hAnsi="Book Antiqua"/>
          <w:sz w:val="22"/>
          <w:szCs w:val="22"/>
          <w:lang w:val="sq-AL"/>
        </w:rPr>
      </w:pPr>
    </w:p>
    <w:p w:rsidR="001A35B0" w:rsidRPr="00166313" w:rsidRDefault="001A35B0" w:rsidP="001A35B0">
      <w:pPr>
        <w:tabs>
          <w:tab w:val="left" w:pos="4035"/>
        </w:tabs>
        <w:rPr>
          <w:rFonts w:ascii="Book Antiqua" w:hAnsi="Book Antiqua"/>
          <w:sz w:val="22"/>
          <w:szCs w:val="22"/>
          <w:lang w:val="sq-AL"/>
        </w:rPr>
      </w:pPr>
    </w:p>
    <w:p w:rsidR="004B2A6F" w:rsidRPr="00166313" w:rsidRDefault="004B2A6F" w:rsidP="00664C95">
      <w:pPr>
        <w:tabs>
          <w:tab w:val="left" w:pos="4035"/>
        </w:tabs>
        <w:jc w:val="center"/>
        <w:rPr>
          <w:rFonts w:ascii="Book Antiqua" w:hAnsi="Book Antiqua"/>
          <w:sz w:val="22"/>
          <w:szCs w:val="22"/>
          <w:lang w:val="sq-AL"/>
        </w:rPr>
      </w:pPr>
    </w:p>
    <w:p w:rsidR="00664C95" w:rsidRPr="00166313" w:rsidRDefault="00664C95" w:rsidP="00664C95">
      <w:pPr>
        <w:tabs>
          <w:tab w:val="left" w:pos="4035"/>
        </w:tabs>
        <w:rPr>
          <w:rFonts w:ascii="Book Antiqua" w:hAnsi="Book Antiqua"/>
          <w:sz w:val="22"/>
          <w:szCs w:val="22"/>
          <w:lang w:val="sq-AL"/>
        </w:rPr>
      </w:pPr>
    </w:p>
    <w:p w:rsidR="00664C95" w:rsidRPr="00166313" w:rsidRDefault="00824F9B" w:rsidP="00431D81">
      <w:pPr>
        <w:pStyle w:val="ListParagraph"/>
        <w:numPr>
          <w:ilvl w:val="0"/>
          <w:numId w:val="2"/>
        </w:numPr>
        <w:tabs>
          <w:tab w:val="left" w:pos="4035"/>
        </w:tabs>
        <w:rPr>
          <w:rFonts w:ascii="Book Antiqua" w:hAnsi="Book Antiqua"/>
          <w:b/>
          <w:lang w:val="sq-AL"/>
        </w:rPr>
      </w:pPr>
      <w:r w:rsidRPr="00166313">
        <w:rPr>
          <w:rFonts w:ascii="Book Antiqua" w:hAnsi="Book Antiqua"/>
          <w:b/>
          <w:lang w:val="sq-AL"/>
        </w:rPr>
        <w:t>T</w:t>
      </w:r>
      <w:r w:rsidR="00E14869" w:rsidRPr="00166313">
        <w:rPr>
          <w:rFonts w:ascii="Book Antiqua" w:hAnsi="Book Antiqua"/>
          <w:b/>
          <w:lang w:val="sq-AL"/>
        </w:rPr>
        <w:t>Ë</w:t>
      </w:r>
      <w:r w:rsidRPr="00166313">
        <w:rPr>
          <w:rFonts w:ascii="Book Antiqua" w:hAnsi="Book Antiqua"/>
          <w:b/>
          <w:lang w:val="sq-AL"/>
        </w:rPr>
        <w:t xml:space="preserve"> P</w:t>
      </w:r>
      <w:r w:rsidR="00E14869" w:rsidRPr="00166313">
        <w:rPr>
          <w:rFonts w:ascii="Book Antiqua" w:hAnsi="Book Antiqua"/>
          <w:b/>
          <w:lang w:val="sq-AL"/>
        </w:rPr>
        <w:t>Ë</w:t>
      </w:r>
      <w:r w:rsidRPr="00166313">
        <w:rPr>
          <w:rFonts w:ascii="Book Antiqua" w:hAnsi="Book Antiqua"/>
          <w:b/>
          <w:lang w:val="sq-AL"/>
        </w:rPr>
        <w:t>RGJITHSHME</w:t>
      </w:r>
    </w:p>
    <w:p w:rsidR="00413E14" w:rsidRPr="00166313" w:rsidRDefault="00431D81" w:rsidP="00FD57FD">
      <w:pPr>
        <w:jc w:val="both"/>
        <w:rPr>
          <w:rFonts w:ascii="Book Antiqua" w:hAnsi="Book Antiqua"/>
          <w:sz w:val="22"/>
          <w:szCs w:val="22"/>
          <w:lang w:val="sq-AL"/>
        </w:rPr>
      </w:pPr>
      <w:r w:rsidRPr="00166313">
        <w:rPr>
          <w:rFonts w:ascii="Book Antiqua" w:hAnsi="Book Antiqua"/>
          <w:sz w:val="22"/>
          <w:szCs w:val="22"/>
          <w:lang w:val="sq-AL"/>
        </w:rPr>
        <w:t xml:space="preserve">Ky raport </w:t>
      </w:r>
      <w:r w:rsidR="00E14869" w:rsidRPr="00166313">
        <w:rPr>
          <w:rFonts w:ascii="Book Antiqua" w:hAnsi="Book Antiqua"/>
          <w:sz w:val="22"/>
          <w:szCs w:val="22"/>
          <w:lang w:val="sq-AL"/>
        </w:rPr>
        <w:t>ë</w:t>
      </w:r>
      <w:r w:rsidRPr="00166313">
        <w:rPr>
          <w:rFonts w:ascii="Book Antiqua" w:hAnsi="Book Antiqua"/>
          <w:sz w:val="22"/>
          <w:szCs w:val="22"/>
          <w:lang w:val="sq-AL"/>
        </w:rPr>
        <w:t>sht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hartuar n</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p</w:t>
      </w:r>
      <w:r w:rsidR="00E14869" w:rsidRPr="00166313">
        <w:rPr>
          <w:rFonts w:ascii="Book Antiqua" w:hAnsi="Book Antiqua"/>
          <w:sz w:val="22"/>
          <w:szCs w:val="22"/>
          <w:lang w:val="sq-AL"/>
        </w:rPr>
        <w:t>ë</w:t>
      </w:r>
      <w:r w:rsidRPr="00166313">
        <w:rPr>
          <w:rFonts w:ascii="Book Antiqua" w:hAnsi="Book Antiqua"/>
          <w:sz w:val="22"/>
          <w:szCs w:val="22"/>
          <w:lang w:val="sq-AL"/>
        </w:rPr>
        <w:t>rputhje me k</w:t>
      </w:r>
      <w:r w:rsidR="00E14869" w:rsidRPr="00166313">
        <w:rPr>
          <w:rFonts w:ascii="Book Antiqua" w:hAnsi="Book Antiqua"/>
          <w:sz w:val="22"/>
          <w:szCs w:val="22"/>
          <w:lang w:val="sq-AL"/>
        </w:rPr>
        <w:t>ë</w:t>
      </w:r>
      <w:r w:rsidRPr="00166313">
        <w:rPr>
          <w:rFonts w:ascii="Book Antiqua" w:hAnsi="Book Antiqua"/>
          <w:sz w:val="22"/>
          <w:szCs w:val="22"/>
          <w:lang w:val="sq-AL"/>
        </w:rPr>
        <w:t>rkesat e Udh</w:t>
      </w:r>
      <w:r w:rsidR="00E14869" w:rsidRPr="00166313">
        <w:rPr>
          <w:rFonts w:ascii="Book Antiqua" w:hAnsi="Book Antiqua"/>
          <w:sz w:val="22"/>
          <w:szCs w:val="22"/>
          <w:lang w:val="sq-AL"/>
        </w:rPr>
        <w:t>ë</w:t>
      </w:r>
      <w:r w:rsidRPr="00166313">
        <w:rPr>
          <w:rFonts w:ascii="Book Antiqua" w:hAnsi="Book Antiqua"/>
          <w:sz w:val="22"/>
          <w:szCs w:val="22"/>
          <w:lang w:val="sq-AL"/>
        </w:rPr>
        <w:t>zimit Administrativ Nr. 01/2012 p</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r procedurat e konsultimit </w:t>
      </w:r>
      <w:r w:rsidR="00413E14" w:rsidRPr="00166313">
        <w:rPr>
          <w:rFonts w:ascii="Book Antiqua" w:hAnsi="Book Antiqua"/>
          <w:sz w:val="22"/>
          <w:szCs w:val="22"/>
          <w:lang w:val="sq-AL"/>
        </w:rPr>
        <w:t xml:space="preserve">publik </w:t>
      </w:r>
      <w:r w:rsidRPr="00166313">
        <w:rPr>
          <w:rFonts w:ascii="Book Antiqua" w:hAnsi="Book Antiqua"/>
          <w:sz w:val="22"/>
          <w:szCs w:val="22"/>
          <w:lang w:val="sq-AL"/>
        </w:rPr>
        <w:t>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pal</w:t>
      </w:r>
      <w:r w:rsidR="00E14869" w:rsidRPr="00166313">
        <w:rPr>
          <w:rFonts w:ascii="Book Antiqua" w:hAnsi="Book Antiqua"/>
          <w:sz w:val="22"/>
          <w:szCs w:val="22"/>
          <w:lang w:val="sq-AL"/>
        </w:rPr>
        <w:t>ë</w:t>
      </w:r>
      <w:r w:rsidRPr="00166313">
        <w:rPr>
          <w:rFonts w:ascii="Book Antiqua" w:hAnsi="Book Antiqua"/>
          <w:sz w:val="22"/>
          <w:szCs w:val="22"/>
          <w:lang w:val="sq-AL"/>
        </w:rPr>
        <w:t>ve 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interesit</w:t>
      </w:r>
      <w:r w:rsidR="00413E14" w:rsidRPr="00166313">
        <w:rPr>
          <w:rFonts w:ascii="Book Antiqua" w:hAnsi="Book Antiqua"/>
          <w:sz w:val="22"/>
          <w:szCs w:val="22"/>
          <w:lang w:val="sq-AL"/>
        </w:rPr>
        <w:t>, lidhur me projekt-rregulloret e AAC-s</w:t>
      </w:r>
      <w:r w:rsidR="00E14869" w:rsidRPr="00166313">
        <w:rPr>
          <w:rFonts w:ascii="Book Antiqua" w:hAnsi="Book Antiqua"/>
          <w:sz w:val="22"/>
          <w:szCs w:val="22"/>
          <w:lang w:val="sq-AL"/>
        </w:rPr>
        <w:t>ë</w:t>
      </w:r>
      <w:r w:rsidR="00413E14" w:rsidRPr="00166313">
        <w:rPr>
          <w:rFonts w:ascii="Book Antiqua" w:hAnsi="Book Antiqua"/>
          <w:sz w:val="22"/>
          <w:szCs w:val="22"/>
          <w:lang w:val="sq-AL"/>
        </w:rPr>
        <w:t>, n</w:t>
      </w:r>
      <w:r w:rsidR="00E14869" w:rsidRPr="00166313">
        <w:rPr>
          <w:rFonts w:ascii="Book Antiqua" w:hAnsi="Book Antiqua"/>
          <w:sz w:val="22"/>
          <w:szCs w:val="22"/>
          <w:lang w:val="sq-AL"/>
        </w:rPr>
        <w:t>ë</w:t>
      </w:r>
      <w:r w:rsidR="00413E14" w:rsidRPr="00166313">
        <w:rPr>
          <w:rFonts w:ascii="Book Antiqua" w:hAnsi="Book Antiqua"/>
          <w:sz w:val="22"/>
          <w:szCs w:val="22"/>
          <w:lang w:val="sq-AL"/>
        </w:rPr>
        <w:t xml:space="preserve"> vijim:</w:t>
      </w:r>
    </w:p>
    <w:p w:rsidR="00413E14" w:rsidRPr="00166313" w:rsidRDefault="00413E14" w:rsidP="00FD57FD">
      <w:pPr>
        <w:jc w:val="both"/>
        <w:rPr>
          <w:rFonts w:ascii="Book Antiqua" w:hAnsi="Book Antiqua"/>
          <w:sz w:val="22"/>
          <w:szCs w:val="22"/>
          <w:lang w:val="sq-AL"/>
        </w:rPr>
      </w:pPr>
    </w:p>
    <w:p w:rsidR="00E47956" w:rsidRPr="007331C3" w:rsidRDefault="00E47956" w:rsidP="007331C3">
      <w:pPr>
        <w:pStyle w:val="ListParagraph"/>
        <w:numPr>
          <w:ilvl w:val="0"/>
          <w:numId w:val="36"/>
        </w:numPr>
        <w:rPr>
          <w:rFonts w:ascii="Book Antiqua" w:hAnsi="Book Antiqua"/>
          <w:b/>
          <w:bCs/>
        </w:rPr>
      </w:pPr>
      <w:r w:rsidRPr="007331C3">
        <w:rPr>
          <w:rFonts w:ascii="Book Antiqua" w:hAnsi="Book Antiqua"/>
          <w:b/>
          <w:bCs/>
        </w:rPr>
        <w:t>Rregullore nr. xxx/2015 per aerodromet e regjistruara</w:t>
      </w:r>
    </w:p>
    <w:p w:rsidR="00E47956" w:rsidRPr="007331C3" w:rsidRDefault="00E47956" w:rsidP="007331C3">
      <w:pPr>
        <w:pStyle w:val="ListParagraph"/>
        <w:numPr>
          <w:ilvl w:val="0"/>
          <w:numId w:val="36"/>
        </w:numPr>
        <w:rPr>
          <w:rFonts w:ascii="Book Antiqua" w:hAnsi="Book Antiqua"/>
          <w:b/>
          <w:bCs/>
          <w:lang w:val="sq-AL"/>
        </w:rPr>
      </w:pPr>
      <w:r w:rsidRPr="007331C3">
        <w:rPr>
          <w:rFonts w:ascii="Book Antiqua" w:hAnsi="Book Antiqua"/>
          <w:b/>
          <w:bCs/>
        </w:rPr>
        <w:t xml:space="preserve">Rregullore nr. xxx/2015 </w:t>
      </w:r>
      <w:r w:rsidRPr="007331C3">
        <w:rPr>
          <w:rFonts w:ascii="Book Antiqua" w:hAnsi="Book Antiqua"/>
          <w:b/>
          <w:bCs/>
          <w:lang w:val="sq-AL"/>
        </w:rPr>
        <w:t>e cila përcakton rregullat implementuese per listën e komunitetit të transportuesve  ajror të cilët i nënshtrohen ndalimit të operimeve    brenda komunitetit</w:t>
      </w:r>
    </w:p>
    <w:p w:rsidR="00E47956" w:rsidRPr="007331C3" w:rsidRDefault="00E47956" w:rsidP="007331C3">
      <w:pPr>
        <w:pStyle w:val="ListParagraph"/>
        <w:numPr>
          <w:ilvl w:val="0"/>
          <w:numId w:val="36"/>
        </w:numPr>
        <w:rPr>
          <w:rFonts w:ascii="Book Antiqua" w:hAnsi="Book Antiqua"/>
          <w:b/>
          <w:bCs/>
          <w:lang w:val="sq-AL"/>
        </w:rPr>
      </w:pPr>
      <w:r w:rsidRPr="007331C3">
        <w:rPr>
          <w:rFonts w:ascii="Book Antiqua" w:hAnsi="Book Antiqua"/>
          <w:b/>
          <w:bCs/>
          <w:lang w:val="sq-AL"/>
        </w:rPr>
        <w:t>Rregullore nr. xx/2015 për themelimin e listës së komunitetit të transportuesve  ajror të cilët i nënshtrohen ndalimit të operimeve brenda komunitetit</w:t>
      </w:r>
    </w:p>
    <w:p w:rsidR="00E47956" w:rsidRPr="007331C3" w:rsidRDefault="00E47956" w:rsidP="007331C3">
      <w:pPr>
        <w:pStyle w:val="ListParagraph"/>
        <w:numPr>
          <w:ilvl w:val="0"/>
          <w:numId w:val="36"/>
        </w:numPr>
        <w:rPr>
          <w:rFonts w:ascii="Book Antiqua" w:hAnsi="Book Antiqua"/>
          <w:b/>
          <w:bCs/>
          <w:lang w:val="sq-AL"/>
        </w:rPr>
      </w:pPr>
      <w:r w:rsidRPr="007331C3">
        <w:rPr>
          <w:rFonts w:ascii="Book Antiqua" w:hAnsi="Book Antiqua"/>
          <w:b/>
          <w:bCs/>
          <w:lang w:val="sq-AL"/>
        </w:rPr>
        <w:t>Rregullore nr. xx/2015 për themelimin e listës së komunitetit të transportuesve ajror të cilët i nënshtrohen ndalimit të operimeve brenda komunitetit dhe në lidhje me informimin e aviopasagjerëve për identitetin e transportuesit ajror</w:t>
      </w:r>
    </w:p>
    <w:p w:rsidR="00E47956" w:rsidRPr="007331C3" w:rsidRDefault="00E47956" w:rsidP="007331C3">
      <w:pPr>
        <w:pStyle w:val="ListParagraph"/>
        <w:numPr>
          <w:ilvl w:val="0"/>
          <w:numId w:val="36"/>
        </w:numPr>
        <w:rPr>
          <w:rFonts w:ascii="Book Antiqua" w:hAnsi="Book Antiqua"/>
          <w:b/>
          <w:bCs/>
          <w:lang w:val="sq-AL"/>
        </w:rPr>
      </w:pPr>
      <w:r w:rsidRPr="007331C3">
        <w:rPr>
          <w:rFonts w:ascii="Book Antiqua" w:hAnsi="Book Antiqua"/>
          <w:b/>
          <w:bCs/>
          <w:lang w:val="sq-AL"/>
        </w:rPr>
        <w:t>Rregullore nr. xx/2015 për mbledhjen dhe shkëmbimin e informatave mbi sigurinë e mjeteve ajrore të cilat përdorin aeroportet e komunitetit dhe menaxhimin e sistemit të informatave</w:t>
      </w:r>
    </w:p>
    <w:p w:rsidR="00E47956" w:rsidRPr="007331C3" w:rsidRDefault="00E47956" w:rsidP="007331C3">
      <w:pPr>
        <w:pStyle w:val="ListParagraph"/>
        <w:numPr>
          <w:ilvl w:val="0"/>
          <w:numId w:val="36"/>
        </w:numPr>
        <w:rPr>
          <w:rFonts w:ascii="Book Antiqua" w:hAnsi="Book Antiqua"/>
          <w:b/>
          <w:bCs/>
          <w:caps/>
        </w:rPr>
      </w:pPr>
      <w:r w:rsidRPr="007331C3">
        <w:rPr>
          <w:rFonts w:ascii="Book Antiqua" w:hAnsi="Book Antiqua"/>
          <w:b/>
          <w:bCs/>
        </w:rPr>
        <w:t>Rregullore nr. xx/2015</w:t>
      </w:r>
      <w:r w:rsidRPr="007331C3">
        <w:rPr>
          <w:rFonts w:ascii="Book Antiqua" w:hAnsi="Book Antiqua"/>
          <w:b/>
          <w:bCs/>
          <w:caps/>
        </w:rPr>
        <w:t xml:space="preserve"> </w:t>
      </w:r>
      <w:r w:rsidRPr="007331C3">
        <w:rPr>
          <w:rFonts w:ascii="Book Antiqua" w:hAnsi="Book Antiqua"/>
          <w:b/>
          <w:bCs/>
        </w:rPr>
        <w:t>për prioritizimin e inspektimeve në platformë të mjeteve ajrore që përdorin aeroportet e komunitetit</w:t>
      </w:r>
    </w:p>
    <w:p w:rsidR="00413E14" w:rsidRPr="00166313" w:rsidRDefault="00413E14" w:rsidP="00FD57FD">
      <w:pPr>
        <w:jc w:val="both"/>
        <w:rPr>
          <w:rFonts w:ascii="Book Antiqua" w:hAnsi="Book Antiqua"/>
          <w:sz w:val="22"/>
          <w:szCs w:val="22"/>
          <w:lang w:val="sq-AL"/>
        </w:rPr>
      </w:pPr>
    </w:p>
    <w:p w:rsidR="00431D81" w:rsidRPr="00166313" w:rsidRDefault="00413E14" w:rsidP="00FD57FD">
      <w:pPr>
        <w:jc w:val="both"/>
        <w:rPr>
          <w:rFonts w:ascii="Book Antiqua" w:hAnsi="Book Antiqua"/>
          <w:sz w:val="22"/>
          <w:szCs w:val="22"/>
          <w:lang w:val="sq-AL"/>
        </w:rPr>
      </w:pPr>
      <w:r w:rsidRPr="00166313">
        <w:rPr>
          <w:rFonts w:ascii="Book Antiqua" w:hAnsi="Book Antiqua"/>
          <w:sz w:val="22"/>
          <w:szCs w:val="22"/>
          <w:lang w:val="sq-AL"/>
        </w:rPr>
        <w:t>K</w:t>
      </w:r>
      <w:r w:rsidR="00646FAB">
        <w:rPr>
          <w:rFonts w:ascii="Book Antiqua" w:hAnsi="Book Antiqua"/>
          <w:sz w:val="22"/>
          <w:szCs w:val="22"/>
          <w:lang w:val="sq-AL"/>
        </w:rPr>
        <w:t>et</w:t>
      </w:r>
      <w:r w:rsidR="007873CA" w:rsidRPr="00166313">
        <w:rPr>
          <w:rFonts w:ascii="Book Antiqua" w:hAnsi="Book Antiqua"/>
          <w:sz w:val="22"/>
          <w:szCs w:val="22"/>
          <w:lang w:val="sq-AL"/>
        </w:rPr>
        <w:t>o</w:t>
      </w:r>
      <w:r w:rsidRPr="00166313">
        <w:rPr>
          <w:rFonts w:ascii="Book Antiqua" w:hAnsi="Book Antiqua"/>
          <w:sz w:val="22"/>
          <w:szCs w:val="22"/>
          <w:lang w:val="sq-AL"/>
        </w:rPr>
        <w:t xml:space="preserve"> projekt-rregullore ka</w:t>
      </w:r>
      <w:r w:rsidR="00646FAB">
        <w:rPr>
          <w:rFonts w:ascii="Book Antiqua" w:hAnsi="Book Antiqua"/>
          <w:sz w:val="22"/>
          <w:szCs w:val="22"/>
          <w:lang w:val="sq-AL"/>
        </w:rPr>
        <w:t>ne</w:t>
      </w:r>
      <w:r w:rsidRPr="00166313">
        <w:rPr>
          <w:rFonts w:ascii="Book Antiqua" w:hAnsi="Book Antiqua"/>
          <w:sz w:val="22"/>
          <w:szCs w:val="22"/>
          <w:lang w:val="sq-AL"/>
        </w:rPr>
        <w:t xml:space="preserve"> qen</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n</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procedur</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konsultimit publik nga data</w:t>
      </w:r>
      <w:r w:rsidR="007873CA" w:rsidRPr="00166313">
        <w:rPr>
          <w:rFonts w:ascii="Book Antiqua" w:hAnsi="Book Antiqua"/>
          <w:sz w:val="22"/>
          <w:szCs w:val="22"/>
          <w:lang w:val="sq-AL"/>
        </w:rPr>
        <w:t xml:space="preserve"> </w:t>
      </w:r>
      <w:r w:rsidR="00D23395" w:rsidRPr="00166313">
        <w:rPr>
          <w:rFonts w:ascii="Book Antiqua" w:hAnsi="Book Antiqua"/>
          <w:sz w:val="22"/>
          <w:szCs w:val="22"/>
          <w:lang w:val="sq-AL"/>
        </w:rPr>
        <w:t>1</w:t>
      </w:r>
      <w:r w:rsidR="00E47956">
        <w:rPr>
          <w:rFonts w:ascii="Book Antiqua" w:hAnsi="Book Antiqua"/>
          <w:sz w:val="22"/>
          <w:szCs w:val="22"/>
          <w:lang w:val="sq-AL"/>
        </w:rPr>
        <w:t>2 -28 gusht</w:t>
      </w:r>
      <w:r w:rsidR="00D23395" w:rsidRPr="00166313">
        <w:rPr>
          <w:rFonts w:ascii="Book Antiqua" w:hAnsi="Book Antiqua"/>
          <w:sz w:val="22"/>
          <w:szCs w:val="22"/>
          <w:lang w:val="sq-AL"/>
        </w:rPr>
        <w:t xml:space="preserve"> 2015</w:t>
      </w:r>
      <w:r w:rsidR="00E47956">
        <w:rPr>
          <w:rFonts w:ascii="Book Antiqua" w:hAnsi="Book Antiqua"/>
          <w:sz w:val="22"/>
          <w:szCs w:val="22"/>
          <w:lang w:val="sq-AL"/>
        </w:rPr>
        <w:t>, gjegj</w:t>
      </w:r>
      <w:r w:rsidR="00CD65B2">
        <w:rPr>
          <w:rFonts w:ascii="Book Antiqua" w:hAnsi="Book Antiqua"/>
          <w:sz w:val="22"/>
          <w:szCs w:val="22"/>
          <w:lang w:val="sq-AL"/>
        </w:rPr>
        <w:t>ë</w:t>
      </w:r>
      <w:r w:rsidR="00E47956">
        <w:rPr>
          <w:rFonts w:ascii="Book Antiqua" w:hAnsi="Book Antiqua"/>
          <w:sz w:val="22"/>
          <w:szCs w:val="22"/>
          <w:lang w:val="sq-AL"/>
        </w:rPr>
        <w:t xml:space="preserve">sisht </w:t>
      </w:r>
      <w:r w:rsidR="007331C3">
        <w:rPr>
          <w:rFonts w:ascii="Book Antiqua" w:hAnsi="Book Antiqua"/>
          <w:sz w:val="22"/>
          <w:szCs w:val="22"/>
          <w:lang w:val="sq-AL"/>
        </w:rPr>
        <w:t>deri m</w:t>
      </w:r>
      <w:r w:rsidR="00CD65B2">
        <w:rPr>
          <w:rFonts w:ascii="Book Antiqua" w:hAnsi="Book Antiqua"/>
          <w:sz w:val="22"/>
          <w:szCs w:val="22"/>
          <w:lang w:val="sq-AL"/>
        </w:rPr>
        <w:t>ë</w:t>
      </w:r>
      <w:r w:rsidR="007331C3">
        <w:rPr>
          <w:rFonts w:ascii="Book Antiqua" w:hAnsi="Book Antiqua"/>
          <w:sz w:val="22"/>
          <w:szCs w:val="22"/>
          <w:lang w:val="sq-AL"/>
        </w:rPr>
        <w:t xml:space="preserve"> </w:t>
      </w:r>
      <w:r w:rsidR="00E47956">
        <w:rPr>
          <w:rFonts w:ascii="Book Antiqua" w:hAnsi="Book Antiqua"/>
          <w:sz w:val="22"/>
          <w:szCs w:val="22"/>
          <w:lang w:val="sq-AL"/>
        </w:rPr>
        <w:t>15 shtator 2015</w:t>
      </w:r>
      <w:r w:rsidR="00E47956">
        <w:rPr>
          <w:rStyle w:val="FootnoteReference"/>
          <w:rFonts w:ascii="Book Antiqua" w:hAnsi="Book Antiqua"/>
          <w:sz w:val="22"/>
          <w:szCs w:val="22"/>
          <w:lang w:val="sq-AL"/>
        </w:rPr>
        <w:footnoteReference w:id="1"/>
      </w:r>
      <w:r w:rsidRPr="00166313">
        <w:rPr>
          <w:rFonts w:ascii="Book Antiqua" w:hAnsi="Book Antiqua"/>
          <w:sz w:val="22"/>
          <w:szCs w:val="22"/>
          <w:lang w:val="sq-AL"/>
        </w:rPr>
        <w:t xml:space="preserve">. </w:t>
      </w:r>
      <w:r w:rsidR="00824F9B" w:rsidRPr="00166313">
        <w:rPr>
          <w:rFonts w:ascii="Book Antiqua" w:hAnsi="Book Antiqua"/>
          <w:sz w:val="22"/>
          <w:szCs w:val="22"/>
          <w:lang w:val="sq-AL"/>
        </w:rPr>
        <w:t>Marrja e k</w:t>
      </w:r>
      <w:r w:rsidR="00431D81" w:rsidRPr="00166313">
        <w:rPr>
          <w:rFonts w:ascii="Book Antiqua" w:hAnsi="Book Antiqua"/>
          <w:sz w:val="22"/>
          <w:szCs w:val="22"/>
          <w:lang w:val="sq-AL"/>
        </w:rPr>
        <w:t>omenteve dhe v</w:t>
      </w:r>
      <w:r w:rsidR="00E14869" w:rsidRPr="00166313">
        <w:rPr>
          <w:rFonts w:ascii="Book Antiqua" w:hAnsi="Book Antiqua"/>
          <w:sz w:val="22"/>
          <w:szCs w:val="22"/>
          <w:lang w:val="sq-AL"/>
        </w:rPr>
        <w:t>ë</w:t>
      </w:r>
      <w:r w:rsidR="00431D81" w:rsidRPr="00166313">
        <w:rPr>
          <w:rFonts w:ascii="Book Antiqua" w:hAnsi="Book Antiqua"/>
          <w:sz w:val="22"/>
          <w:szCs w:val="22"/>
          <w:lang w:val="sq-AL"/>
        </w:rPr>
        <w:t>rejtjeve t</w:t>
      </w:r>
      <w:r w:rsidR="00E14869" w:rsidRPr="00166313">
        <w:rPr>
          <w:rFonts w:ascii="Book Antiqua" w:hAnsi="Book Antiqua"/>
          <w:sz w:val="22"/>
          <w:szCs w:val="22"/>
          <w:lang w:val="sq-AL"/>
        </w:rPr>
        <w:t>ë</w:t>
      </w:r>
      <w:r w:rsidR="00431D81" w:rsidRPr="00166313">
        <w:rPr>
          <w:rFonts w:ascii="Book Antiqua" w:hAnsi="Book Antiqua"/>
          <w:sz w:val="22"/>
          <w:szCs w:val="22"/>
          <w:lang w:val="sq-AL"/>
        </w:rPr>
        <w:t xml:space="preserve"> pal</w:t>
      </w:r>
      <w:r w:rsidR="00E14869" w:rsidRPr="00166313">
        <w:rPr>
          <w:rFonts w:ascii="Book Antiqua" w:hAnsi="Book Antiqua"/>
          <w:sz w:val="22"/>
          <w:szCs w:val="22"/>
          <w:lang w:val="sq-AL"/>
        </w:rPr>
        <w:t>ë</w:t>
      </w:r>
      <w:r w:rsidR="00431D81" w:rsidRPr="00166313">
        <w:rPr>
          <w:rFonts w:ascii="Book Antiqua" w:hAnsi="Book Antiqua"/>
          <w:sz w:val="22"/>
          <w:szCs w:val="22"/>
          <w:lang w:val="sq-AL"/>
        </w:rPr>
        <w:t>ve t</w:t>
      </w:r>
      <w:r w:rsidR="00E14869" w:rsidRPr="00166313">
        <w:rPr>
          <w:rFonts w:ascii="Book Antiqua" w:hAnsi="Book Antiqua"/>
          <w:sz w:val="22"/>
          <w:szCs w:val="22"/>
          <w:lang w:val="sq-AL"/>
        </w:rPr>
        <w:t>ë</w:t>
      </w:r>
      <w:r w:rsidR="00431D81" w:rsidRPr="00166313">
        <w:rPr>
          <w:rFonts w:ascii="Book Antiqua" w:hAnsi="Book Antiqua"/>
          <w:sz w:val="22"/>
          <w:szCs w:val="22"/>
          <w:lang w:val="sq-AL"/>
        </w:rPr>
        <w:t xml:space="preserve"> interesit </w:t>
      </w:r>
      <w:r w:rsidRPr="00166313">
        <w:rPr>
          <w:rFonts w:ascii="Book Antiqua" w:hAnsi="Book Antiqua"/>
          <w:sz w:val="22"/>
          <w:szCs w:val="22"/>
          <w:lang w:val="sq-AL"/>
        </w:rPr>
        <w:t>p</w:t>
      </w:r>
      <w:r w:rsidR="00E14869" w:rsidRPr="00166313">
        <w:rPr>
          <w:rFonts w:ascii="Book Antiqua" w:hAnsi="Book Antiqua"/>
          <w:sz w:val="22"/>
          <w:szCs w:val="22"/>
          <w:lang w:val="sq-AL"/>
        </w:rPr>
        <w:t>ë</w:t>
      </w:r>
      <w:r w:rsidRPr="00166313">
        <w:rPr>
          <w:rFonts w:ascii="Book Antiqua" w:hAnsi="Book Antiqua"/>
          <w:sz w:val="22"/>
          <w:szCs w:val="22"/>
          <w:lang w:val="sq-AL"/>
        </w:rPr>
        <w:t>r k</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to projekt-rregullore </w:t>
      </w:r>
      <w:r w:rsidR="00E14869" w:rsidRPr="00166313">
        <w:rPr>
          <w:rFonts w:ascii="Book Antiqua" w:hAnsi="Book Antiqua"/>
          <w:sz w:val="22"/>
          <w:szCs w:val="22"/>
          <w:lang w:val="sq-AL"/>
        </w:rPr>
        <w:t>ë</w:t>
      </w:r>
      <w:r w:rsidR="00431D81" w:rsidRPr="00166313">
        <w:rPr>
          <w:rFonts w:ascii="Book Antiqua" w:hAnsi="Book Antiqua"/>
          <w:sz w:val="22"/>
          <w:szCs w:val="22"/>
          <w:lang w:val="sq-AL"/>
        </w:rPr>
        <w:t>sht</w:t>
      </w:r>
      <w:r w:rsidR="00E14869" w:rsidRPr="00166313">
        <w:rPr>
          <w:rFonts w:ascii="Book Antiqua" w:hAnsi="Book Antiqua"/>
          <w:sz w:val="22"/>
          <w:szCs w:val="22"/>
          <w:lang w:val="sq-AL"/>
        </w:rPr>
        <w:t>ë</w:t>
      </w:r>
      <w:r w:rsidR="00431D81" w:rsidRPr="00166313">
        <w:rPr>
          <w:rFonts w:ascii="Book Antiqua" w:hAnsi="Book Antiqua"/>
          <w:sz w:val="22"/>
          <w:szCs w:val="22"/>
          <w:lang w:val="sq-AL"/>
        </w:rPr>
        <w:t xml:space="preserve"> </w:t>
      </w:r>
      <w:r w:rsidR="00824F9B" w:rsidRPr="00166313">
        <w:rPr>
          <w:rFonts w:ascii="Book Antiqua" w:hAnsi="Book Antiqua"/>
          <w:sz w:val="22"/>
          <w:szCs w:val="22"/>
          <w:lang w:val="sq-AL"/>
        </w:rPr>
        <w:t>b</w:t>
      </w:r>
      <w:r w:rsidR="00E14869" w:rsidRPr="00166313">
        <w:rPr>
          <w:rFonts w:ascii="Book Antiqua" w:hAnsi="Book Antiqua"/>
          <w:sz w:val="22"/>
          <w:szCs w:val="22"/>
          <w:lang w:val="sq-AL"/>
        </w:rPr>
        <w:t>ë</w:t>
      </w:r>
      <w:r w:rsidR="00824F9B" w:rsidRPr="00166313">
        <w:rPr>
          <w:rFonts w:ascii="Book Antiqua" w:hAnsi="Book Antiqua"/>
          <w:sz w:val="22"/>
          <w:szCs w:val="22"/>
          <w:lang w:val="sq-AL"/>
        </w:rPr>
        <w:t>r</w:t>
      </w:r>
      <w:r w:rsidR="00E14869" w:rsidRPr="00166313">
        <w:rPr>
          <w:rFonts w:ascii="Book Antiqua" w:hAnsi="Book Antiqua"/>
          <w:sz w:val="22"/>
          <w:szCs w:val="22"/>
          <w:lang w:val="sq-AL"/>
        </w:rPr>
        <w:t>ë</w:t>
      </w:r>
      <w:r w:rsidR="00824F9B" w:rsidRPr="00166313">
        <w:rPr>
          <w:rFonts w:ascii="Book Antiqua" w:hAnsi="Book Antiqua"/>
          <w:sz w:val="22"/>
          <w:szCs w:val="22"/>
          <w:lang w:val="sq-AL"/>
        </w:rPr>
        <w:t xml:space="preserve"> duke </w:t>
      </w:r>
      <w:r w:rsidR="00431D81" w:rsidRPr="00166313">
        <w:rPr>
          <w:rFonts w:ascii="Book Antiqua" w:hAnsi="Book Antiqua"/>
          <w:sz w:val="22"/>
          <w:szCs w:val="22"/>
          <w:lang w:val="sq-AL"/>
        </w:rPr>
        <w:t>aplikuar procedur</w:t>
      </w:r>
      <w:r w:rsidR="00E14869" w:rsidRPr="00166313">
        <w:rPr>
          <w:rFonts w:ascii="Book Antiqua" w:hAnsi="Book Antiqua"/>
          <w:sz w:val="22"/>
          <w:szCs w:val="22"/>
          <w:lang w:val="sq-AL"/>
        </w:rPr>
        <w:t>ë</w:t>
      </w:r>
      <w:r w:rsidR="00824F9B" w:rsidRPr="00166313">
        <w:rPr>
          <w:rFonts w:ascii="Book Antiqua" w:hAnsi="Book Antiqua"/>
          <w:sz w:val="22"/>
          <w:szCs w:val="22"/>
          <w:lang w:val="sq-AL"/>
        </w:rPr>
        <w:t>n</w:t>
      </w:r>
      <w:r w:rsidR="00431D81" w:rsidRPr="00166313">
        <w:rPr>
          <w:rFonts w:ascii="Book Antiqua" w:hAnsi="Book Antiqua"/>
          <w:sz w:val="22"/>
          <w:szCs w:val="22"/>
          <w:lang w:val="sq-AL"/>
        </w:rPr>
        <w:t xml:space="preserve"> e parapar</w:t>
      </w:r>
      <w:r w:rsidR="00E14869" w:rsidRPr="00166313">
        <w:rPr>
          <w:rFonts w:ascii="Book Antiqua" w:hAnsi="Book Antiqua"/>
          <w:sz w:val="22"/>
          <w:szCs w:val="22"/>
          <w:lang w:val="sq-AL"/>
        </w:rPr>
        <w:t>ë</w:t>
      </w:r>
      <w:r w:rsidR="00431D81" w:rsidRPr="00166313">
        <w:rPr>
          <w:rFonts w:ascii="Book Antiqua" w:hAnsi="Book Antiqua"/>
          <w:sz w:val="22"/>
          <w:szCs w:val="22"/>
          <w:lang w:val="sq-AL"/>
        </w:rPr>
        <w:t xml:space="preserve"> n</w:t>
      </w:r>
      <w:r w:rsidR="00E14869" w:rsidRPr="00166313">
        <w:rPr>
          <w:rFonts w:ascii="Book Antiqua" w:hAnsi="Book Antiqua"/>
          <w:sz w:val="22"/>
          <w:szCs w:val="22"/>
          <w:lang w:val="sq-AL"/>
        </w:rPr>
        <w:t>ë</w:t>
      </w:r>
      <w:r w:rsidR="00431D81" w:rsidRPr="00166313">
        <w:rPr>
          <w:rFonts w:ascii="Book Antiqua" w:hAnsi="Book Antiqua"/>
          <w:sz w:val="22"/>
          <w:szCs w:val="22"/>
          <w:lang w:val="sq-AL"/>
        </w:rPr>
        <w:t xml:space="preserve"> nenin 5.3</w:t>
      </w:r>
      <w:r w:rsidRPr="00166313">
        <w:rPr>
          <w:rFonts w:ascii="Book Antiqua" w:hAnsi="Book Antiqua"/>
          <w:sz w:val="22"/>
          <w:szCs w:val="22"/>
          <w:lang w:val="sq-AL"/>
        </w:rPr>
        <w:t xml:space="preserve"> </w:t>
      </w:r>
      <w:r w:rsidR="00E47956">
        <w:rPr>
          <w:rFonts w:ascii="Book Antiqua" w:hAnsi="Book Antiqua"/>
          <w:sz w:val="22"/>
          <w:szCs w:val="22"/>
          <w:lang w:val="sq-AL"/>
        </w:rPr>
        <w:t xml:space="preserve"> dhe 5.4 </w:t>
      </w:r>
      <w:r w:rsidRPr="00166313">
        <w:rPr>
          <w:rFonts w:ascii="Book Antiqua" w:hAnsi="Book Antiqua"/>
          <w:sz w:val="22"/>
          <w:szCs w:val="22"/>
          <w:lang w:val="sq-AL"/>
        </w:rPr>
        <w:t>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Udh</w:t>
      </w:r>
      <w:r w:rsidR="00E14869" w:rsidRPr="00166313">
        <w:rPr>
          <w:rFonts w:ascii="Book Antiqua" w:hAnsi="Book Antiqua"/>
          <w:sz w:val="22"/>
          <w:szCs w:val="22"/>
          <w:lang w:val="sq-AL"/>
        </w:rPr>
        <w:t>ë</w:t>
      </w:r>
      <w:r w:rsidRPr="00166313">
        <w:rPr>
          <w:rFonts w:ascii="Book Antiqua" w:hAnsi="Book Antiqua"/>
          <w:sz w:val="22"/>
          <w:szCs w:val="22"/>
          <w:lang w:val="sq-AL"/>
        </w:rPr>
        <w:t>zimit Administrativ Nr. 01/2012.</w:t>
      </w:r>
    </w:p>
    <w:p w:rsidR="00B62106" w:rsidRPr="00166313" w:rsidRDefault="00B62106" w:rsidP="00FD57FD">
      <w:pPr>
        <w:jc w:val="both"/>
        <w:rPr>
          <w:rFonts w:ascii="Book Antiqua" w:hAnsi="Book Antiqua"/>
          <w:sz w:val="22"/>
          <w:szCs w:val="22"/>
          <w:lang w:val="sq-AL"/>
        </w:rPr>
      </w:pPr>
    </w:p>
    <w:p w:rsidR="00B62106" w:rsidRPr="00166313" w:rsidRDefault="00B62106" w:rsidP="00FD57FD">
      <w:pPr>
        <w:jc w:val="both"/>
        <w:rPr>
          <w:rFonts w:ascii="Book Antiqua" w:hAnsi="Book Antiqua"/>
          <w:sz w:val="22"/>
          <w:szCs w:val="22"/>
          <w:lang w:val="sq-AL"/>
        </w:rPr>
      </w:pPr>
      <w:r w:rsidRPr="00166313">
        <w:rPr>
          <w:rFonts w:ascii="Book Antiqua" w:hAnsi="Book Antiqua"/>
          <w:sz w:val="22"/>
          <w:szCs w:val="22"/>
          <w:lang w:val="sq-AL"/>
        </w:rPr>
        <w:t xml:space="preserve">AAC ka </w:t>
      </w:r>
      <w:r w:rsidR="00E14869" w:rsidRPr="00166313">
        <w:rPr>
          <w:rFonts w:ascii="Book Antiqua" w:hAnsi="Book Antiqua"/>
          <w:sz w:val="22"/>
          <w:szCs w:val="22"/>
          <w:lang w:val="sq-AL"/>
        </w:rPr>
        <w:t>vlerësuar dhe analizuar me ku</w:t>
      </w:r>
      <w:r w:rsidR="00C065EB" w:rsidRPr="00166313">
        <w:rPr>
          <w:rFonts w:ascii="Book Antiqua" w:hAnsi="Book Antiqua"/>
          <w:sz w:val="22"/>
          <w:szCs w:val="22"/>
          <w:lang w:val="sq-AL"/>
        </w:rPr>
        <w:t>j</w:t>
      </w:r>
      <w:r w:rsidR="00E14869" w:rsidRPr="00166313">
        <w:rPr>
          <w:rFonts w:ascii="Book Antiqua" w:hAnsi="Book Antiqua"/>
          <w:sz w:val="22"/>
          <w:szCs w:val="22"/>
          <w:lang w:val="sq-AL"/>
        </w:rPr>
        <w:t>des çdo k</w:t>
      </w:r>
      <w:r w:rsidRPr="00166313">
        <w:rPr>
          <w:rFonts w:ascii="Book Antiqua" w:hAnsi="Book Antiqua"/>
          <w:sz w:val="22"/>
          <w:szCs w:val="22"/>
          <w:lang w:val="sq-AL"/>
        </w:rPr>
        <w:t>oment/sugjerim të dhënë në lidhje me projekt-rregullore</w:t>
      </w:r>
      <w:r w:rsidR="00FD57FD" w:rsidRPr="00166313">
        <w:rPr>
          <w:rFonts w:ascii="Book Antiqua" w:hAnsi="Book Antiqua"/>
          <w:sz w:val="22"/>
          <w:szCs w:val="22"/>
          <w:lang w:val="sq-AL"/>
        </w:rPr>
        <w:t>n</w:t>
      </w:r>
      <w:r w:rsidRPr="00166313">
        <w:rPr>
          <w:rFonts w:ascii="Book Antiqua" w:hAnsi="Book Antiqua"/>
          <w:sz w:val="22"/>
          <w:szCs w:val="22"/>
          <w:lang w:val="sq-AL"/>
        </w:rPr>
        <w:t xml:space="preserve"> </w:t>
      </w:r>
      <w:r w:rsidR="00E14869" w:rsidRPr="00166313">
        <w:rPr>
          <w:rFonts w:ascii="Book Antiqua" w:hAnsi="Book Antiqua"/>
          <w:sz w:val="22"/>
          <w:szCs w:val="22"/>
          <w:lang w:val="sq-AL"/>
        </w:rPr>
        <w:t>n</w:t>
      </w:r>
      <w:r w:rsidRPr="00166313">
        <w:rPr>
          <w:rFonts w:ascii="Book Antiqua" w:hAnsi="Book Antiqua"/>
          <w:sz w:val="22"/>
          <w:szCs w:val="22"/>
          <w:lang w:val="sq-AL"/>
        </w:rPr>
        <w:t>ë</w:t>
      </w:r>
      <w:r w:rsidR="00E14869" w:rsidRPr="00166313">
        <w:rPr>
          <w:rFonts w:ascii="Book Antiqua" w:hAnsi="Book Antiqua"/>
          <w:sz w:val="22"/>
          <w:szCs w:val="22"/>
          <w:lang w:val="sq-AL"/>
        </w:rPr>
        <w:t xml:space="preserve"> konsultim publik t</w:t>
      </w:r>
      <w:r w:rsidRPr="00166313">
        <w:rPr>
          <w:rFonts w:ascii="Book Antiqua" w:hAnsi="Book Antiqua"/>
          <w:sz w:val="22"/>
          <w:szCs w:val="22"/>
          <w:lang w:val="sq-AL"/>
        </w:rPr>
        <w:t>ë</w:t>
      </w:r>
      <w:r w:rsidR="00E14869" w:rsidRPr="00166313">
        <w:rPr>
          <w:rFonts w:ascii="Book Antiqua" w:hAnsi="Book Antiqua"/>
          <w:sz w:val="22"/>
          <w:szCs w:val="22"/>
          <w:lang w:val="sq-AL"/>
        </w:rPr>
        <w:t xml:space="preserve"> pal</w:t>
      </w:r>
      <w:r w:rsidRPr="00166313">
        <w:rPr>
          <w:rFonts w:ascii="Book Antiqua" w:hAnsi="Book Antiqua"/>
          <w:sz w:val="22"/>
          <w:szCs w:val="22"/>
          <w:lang w:val="sq-AL"/>
        </w:rPr>
        <w:t>ë</w:t>
      </w:r>
      <w:r w:rsidR="00E14869" w:rsidRPr="00166313">
        <w:rPr>
          <w:rFonts w:ascii="Book Antiqua" w:hAnsi="Book Antiqua"/>
          <w:sz w:val="22"/>
          <w:szCs w:val="22"/>
          <w:lang w:val="sq-AL"/>
        </w:rPr>
        <w:t>ve t</w:t>
      </w:r>
      <w:r w:rsidRPr="00166313">
        <w:rPr>
          <w:rFonts w:ascii="Book Antiqua" w:hAnsi="Book Antiqua"/>
          <w:sz w:val="22"/>
          <w:szCs w:val="22"/>
          <w:lang w:val="sq-AL"/>
        </w:rPr>
        <w:t>ë</w:t>
      </w:r>
      <w:r w:rsidR="00E14869" w:rsidRPr="00166313">
        <w:rPr>
          <w:rFonts w:ascii="Book Antiqua" w:hAnsi="Book Antiqua"/>
          <w:sz w:val="22"/>
          <w:szCs w:val="22"/>
          <w:lang w:val="sq-AL"/>
        </w:rPr>
        <w:t xml:space="preserve"> interesit. </w:t>
      </w:r>
      <w:r w:rsidRPr="00166313">
        <w:rPr>
          <w:rFonts w:ascii="Book Antiqua" w:hAnsi="Book Antiqua"/>
          <w:sz w:val="22"/>
          <w:szCs w:val="22"/>
          <w:lang w:val="sq-AL"/>
        </w:rPr>
        <w:t xml:space="preserve"> </w:t>
      </w:r>
    </w:p>
    <w:p w:rsidR="00413E14" w:rsidRPr="00166313" w:rsidRDefault="00413E14" w:rsidP="00431D81">
      <w:pPr>
        <w:tabs>
          <w:tab w:val="left" w:pos="4035"/>
        </w:tabs>
        <w:rPr>
          <w:rFonts w:ascii="Book Antiqua" w:hAnsi="Book Antiqua"/>
          <w:sz w:val="22"/>
          <w:szCs w:val="22"/>
          <w:lang w:val="sq-AL"/>
        </w:rPr>
      </w:pPr>
    </w:p>
    <w:p w:rsidR="00413E14" w:rsidRPr="00166313" w:rsidRDefault="00413E14" w:rsidP="00431D81">
      <w:pPr>
        <w:tabs>
          <w:tab w:val="left" w:pos="4035"/>
        </w:tabs>
        <w:rPr>
          <w:rFonts w:ascii="Book Antiqua" w:hAnsi="Book Antiqua"/>
          <w:sz w:val="22"/>
          <w:szCs w:val="22"/>
          <w:lang w:val="sq-AL"/>
        </w:rPr>
      </w:pPr>
    </w:p>
    <w:p w:rsidR="00413E14" w:rsidRDefault="00413E14" w:rsidP="00413E14">
      <w:pPr>
        <w:pStyle w:val="ListParagraph"/>
        <w:numPr>
          <w:ilvl w:val="0"/>
          <w:numId w:val="2"/>
        </w:numPr>
        <w:tabs>
          <w:tab w:val="left" w:pos="4035"/>
        </w:tabs>
        <w:rPr>
          <w:rFonts w:ascii="Book Antiqua" w:hAnsi="Book Antiqua"/>
          <w:b/>
          <w:lang w:val="sq-AL"/>
        </w:rPr>
      </w:pPr>
      <w:r w:rsidRPr="00166313">
        <w:rPr>
          <w:rFonts w:ascii="Book Antiqua" w:hAnsi="Book Antiqua"/>
          <w:b/>
          <w:lang w:val="sq-AL"/>
        </w:rPr>
        <w:t>K</w:t>
      </w:r>
      <w:r w:rsidR="00824F9B" w:rsidRPr="00166313">
        <w:rPr>
          <w:rFonts w:ascii="Book Antiqua" w:hAnsi="Book Antiqua"/>
          <w:b/>
          <w:lang w:val="sq-AL"/>
        </w:rPr>
        <w:t xml:space="preserve">OMENTET E PRANUARA </w:t>
      </w:r>
      <w:r w:rsidR="00CA3D59" w:rsidRPr="00166313">
        <w:rPr>
          <w:rFonts w:ascii="Book Antiqua" w:hAnsi="Book Antiqua"/>
          <w:b/>
          <w:lang w:val="sq-AL"/>
        </w:rPr>
        <w:t>DHE P</w:t>
      </w:r>
      <w:r w:rsidR="00E14869" w:rsidRPr="00166313">
        <w:rPr>
          <w:rFonts w:ascii="Book Antiqua" w:hAnsi="Book Antiqua"/>
          <w:b/>
          <w:lang w:val="sq-AL"/>
        </w:rPr>
        <w:t>Ë</w:t>
      </w:r>
      <w:r w:rsidR="00CA3D59" w:rsidRPr="00166313">
        <w:rPr>
          <w:rFonts w:ascii="Book Antiqua" w:hAnsi="Book Antiqua"/>
          <w:b/>
          <w:lang w:val="sq-AL"/>
        </w:rPr>
        <w:t>RGJIGJET E AAC-s</w:t>
      </w:r>
      <w:r w:rsidR="00E14869" w:rsidRPr="00166313">
        <w:rPr>
          <w:rFonts w:ascii="Book Antiqua" w:hAnsi="Book Antiqua"/>
          <w:b/>
          <w:lang w:val="sq-AL"/>
        </w:rPr>
        <w:t>ë</w:t>
      </w:r>
    </w:p>
    <w:p w:rsidR="007331C3" w:rsidRPr="00166313" w:rsidRDefault="007331C3" w:rsidP="007331C3">
      <w:pPr>
        <w:pStyle w:val="ListParagraph"/>
        <w:tabs>
          <w:tab w:val="left" w:pos="4035"/>
        </w:tabs>
        <w:ind w:left="1800"/>
        <w:rPr>
          <w:rFonts w:ascii="Book Antiqua" w:hAnsi="Book Antiqua"/>
          <w:b/>
          <w:lang w:val="sq-AL"/>
        </w:rPr>
      </w:pPr>
    </w:p>
    <w:p w:rsidR="007331C3" w:rsidRPr="00CD65B2" w:rsidRDefault="00E47956" w:rsidP="007331C3">
      <w:pPr>
        <w:pStyle w:val="ListParagraph"/>
        <w:numPr>
          <w:ilvl w:val="0"/>
          <w:numId w:val="37"/>
        </w:numPr>
        <w:jc w:val="both"/>
        <w:rPr>
          <w:b/>
        </w:rPr>
      </w:pPr>
      <w:r w:rsidRPr="00CD65B2">
        <w:rPr>
          <w:rFonts w:ascii="Book Antiqua" w:hAnsi="Book Antiqua"/>
          <w:b/>
          <w:lang w:val="sq-AL"/>
        </w:rPr>
        <w:t>Rregullor</w:t>
      </w:r>
      <w:r w:rsidR="00CD65B2">
        <w:rPr>
          <w:rFonts w:ascii="Book Antiqua" w:hAnsi="Book Antiqua"/>
          <w:b/>
          <w:lang w:val="sq-AL"/>
        </w:rPr>
        <w:t>e</w:t>
      </w:r>
      <w:r w:rsidRPr="00CD65B2">
        <w:rPr>
          <w:rFonts w:ascii="Book Antiqua" w:hAnsi="Book Antiqua"/>
          <w:b/>
          <w:lang w:val="sq-AL"/>
        </w:rPr>
        <w:t xml:space="preserve"> p</w:t>
      </w:r>
      <w:r w:rsidR="006C41DC">
        <w:rPr>
          <w:rFonts w:ascii="Book Antiqua" w:hAnsi="Book Antiqua"/>
          <w:b/>
          <w:lang w:val="sq-AL"/>
        </w:rPr>
        <w:t>ë</w:t>
      </w:r>
      <w:r w:rsidRPr="00CD65B2">
        <w:rPr>
          <w:rFonts w:ascii="Book Antiqua" w:hAnsi="Book Antiqua"/>
          <w:b/>
          <w:lang w:val="sq-AL"/>
        </w:rPr>
        <w:t>r aerodromet e regjistruara</w:t>
      </w:r>
      <w:r w:rsidR="007331C3" w:rsidRPr="00CD65B2">
        <w:rPr>
          <w:rFonts w:ascii="Book Antiqua" w:hAnsi="Book Antiqua"/>
          <w:b/>
          <w:lang w:val="sq-AL"/>
        </w:rPr>
        <w:t xml:space="preserve"> </w:t>
      </w:r>
    </w:p>
    <w:p w:rsidR="007331C3" w:rsidRDefault="007331C3" w:rsidP="007331C3">
      <w:pPr>
        <w:jc w:val="both"/>
      </w:pPr>
      <w:r w:rsidRPr="007331C3">
        <w:rPr>
          <w:i/>
          <w:iCs/>
        </w:rPr>
        <w:t>Under Article 2, 2.1. states that;</w:t>
      </w:r>
      <w:r>
        <w:t xml:space="preserve"> </w:t>
      </w:r>
      <w:r w:rsidRPr="007331C3">
        <w:rPr>
          <w:b/>
          <w:bCs/>
          <w:i/>
          <w:iCs/>
        </w:rPr>
        <w:t xml:space="preserve">“Registered aerodrome shall be used only for non-commercial flight operations by visual flight rules during the day.” </w:t>
      </w:r>
      <w:r w:rsidRPr="007331C3">
        <w:rPr>
          <w:i/>
          <w:iCs/>
        </w:rPr>
        <w:t>and;</w:t>
      </w:r>
    </w:p>
    <w:p w:rsidR="007331C3" w:rsidRDefault="007331C3" w:rsidP="007331C3"/>
    <w:p w:rsidR="007331C3" w:rsidRDefault="007331C3" w:rsidP="007331C3">
      <w:r>
        <w:rPr>
          <w:i/>
          <w:iCs/>
        </w:rPr>
        <w:t xml:space="preserve">Under Article 2, 2.3. clause a) states that; </w:t>
      </w:r>
      <w:r>
        <w:rPr>
          <w:b/>
          <w:bCs/>
          <w:i/>
          <w:iCs/>
        </w:rPr>
        <w:t> “performing commercial flights, that begin and end at the same registered aerodrome and taking place within a radius up to 50 nautical miles from the aerodrome or”</w:t>
      </w:r>
    </w:p>
    <w:p w:rsidR="007331C3" w:rsidRDefault="007331C3" w:rsidP="007331C3"/>
    <w:p w:rsidR="007331C3" w:rsidRDefault="007331C3" w:rsidP="007331C3">
      <w:pPr>
        <w:rPr>
          <w:i/>
          <w:iCs/>
        </w:rPr>
      </w:pPr>
      <w:r>
        <w:rPr>
          <w:i/>
          <w:iCs/>
        </w:rPr>
        <w:lastRenderedPageBreak/>
        <w:t>We, as Limak Kosovo International Airport JSC believes that it would not create a conflict with our PPP agreement however, to avoid of any doubts in future for the all parties that we would prefer different wording instead of “Commercial Flights” or any other limitation such as  seat capacity and/or MTOW to define the single engine non-commercial aircrafts. However we believe that the Article 2 “ Scope” should be reconsidered together with clause 8.7. which is our main concern as we try to explain in below.</w:t>
      </w:r>
    </w:p>
    <w:p w:rsidR="007331C3" w:rsidRDefault="007331C3" w:rsidP="007331C3">
      <w:pPr>
        <w:rPr>
          <w:i/>
          <w:iCs/>
        </w:rPr>
      </w:pPr>
    </w:p>
    <w:p w:rsidR="007331C3" w:rsidRDefault="007331C3" w:rsidP="007331C3">
      <w:pPr>
        <w:rPr>
          <w:i/>
          <w:iCs/>
          <w:color w:val="1F497D"/>
        </w:rPr>
      </w:pPr>
      <w:r>
        <w:rPr>
          <w:i/>
          <w:iCs/>
        </w:rPr>
        <w:t xml:space="preserve">Under Article 4, </w:t>
      </w:r>
      <w:r>
        <w:t>4.2. clause states that;  “</w:t>
      </w:r>
      <w:r>
        <w:rPr>
          <w:b/>
          <w:bCs/>
          <w:i/>
          <w:iCs/>
        </w:rPr>
        <w:t xml:space="preserve">A registered aerodrome </w:t>
      </w:r>
      <w:r>
        <w:rPr>
          <w:b/>
          <w:bCs/>
          <w:i/>
          <w:iCs/>
          <w:u w:val="single"/>
        </w:rPr>
        <w:t>may be used by other aircraft operators with permission for its use</w:t>
      </w:r>
      <w:r>
        <w:rPr>
          <w:b/>
          <w:bCs/>
          <w:i/>
          <w:iCs/>
        </w:rPr>
        <w:t xml:space="preserve">, provided by the operator who has applied for the registration, in accordance with Article 5.2 d.” </w:t>
      </w:r>
      <w:r>
        <w:rPr>
          <w:i/>
          <w:iCs/>
        </w:rPr>
        <w:t>We consider that CAAK must be the only authority for every aircraft operator who wants to use any registered airport where has been assigned to any other aircraft operator or not. Otherwise aircraft operator who has been authorized by CAAK would become the authority of that registered airport which can create an unfair conditions for the aircraft operators. While it’s been considered together with the terms of clause 2.3 and 8.7. “Commercial Flight Authorization” that Aircraft Operator might receive from the CAAK it means that the aircraft operator who has been authorized to use any registered airport would become airport operator of that registered airport. We consider that would also create a contradiction to PPP agreement.</w:t>
      </w:r>
    </w:p>
    <w:p w:rsidR="007331C3" w:rsidRDefault="007331C3" w:rsidP="007331C3"/>
    <w:p w:rsidR="007331C3" w:rsidRDefault="007331C3" w:rsidP="007331C3">
      <w:pPr>
        <w:rPr>
          <w:b/>
          <w:bCs/>
          <w:i/>
          <w:iCs/>
        </w:rPr>
      </w:pPr>
      <w:r>
        <w:rPr>
          <w:i/>
          <w:iCs/>
        </w:rPr>
        <w:t>In clause 8.7. states that; “</w:t>
      </w:r>
      <w:r>
        <w:rPr>
          <w:b/>
          <w:bCs/>
          <w:i/>
          <w:iCs/>
        </w:rPr>
        <w:t xml:space="preserve">Aircraft operator and pilot in command who conducts take-off operations from a registered aerodrome to the approved or certified aerodrome, is obliged to apply alternative security measures prescribed for such operations in the following areas: </w:t>
      </w:r>
    </w:p>
    <w:p w:rsidR="007331C3" w:rsidRDefault="007331C3" w:rsidP="007331C3">
      <w:pPr>
        <w:rPr>
          <w:b/>
          <w:bCs/>
          <w:i/>
          <w:iCs/>
        </w:rPr>
      </w:pPr>
      <w:r>
        <w:rPr>
          <w:b/>
          <w:bCs/>
          <w:i/>
          <w:iCs/>
        </w:rPr>
        <w:t>a) aircraft protection from unauthorized access,</w:t>
      </w:r>
    </w:p>
    <w:p w:rsidR="007331C3" w:rsidRDefault="007331C3" w:rsidP="007331C3">
      <w:pPr>
        <w:rPr>
          <w:b/>
          <w:bCs/>
          <w:i/>
          <w:iCs/>
        </w:rPr>
      </w:pPr>
      <w:r>
        <w:rPr>
          <w:b/>
          <w:bCs/>
          <w:i/>
          <w:iCs/>
        </w:rPr>
        <w:t xml:space="preserve">b) passengers identification check, </w:t>
      </w:r>
    </w:p>
    <w:p w:rsidR="007331C3" w:rsidRDefault="007331C3" w:rsidP="007331C3">
      <w:pPr>
        <w:rPr>
          <w:b/>
          <w:bCs/>
          <w:i/>
          <w:iCs/>
        </w:rPr>
      </w:pPr>
      <w:r>
        <w:rPr>
          <w:b/>
          <w:bCs/>
          <w:i/>
          <w:iCs/>
        </w:rPr>
        <w:t xml:space="preserve">c) recording the passengers list, </w:t>
      </w:r>
    </w:p>
    <w:p w:rsidR="007331C3" w:rsidRDefault="007331C3" w:rsidP="007331C3">
      <w:pPr>
        <w:rPr>
          <w:b/>
          <w:bCs/>
          <w:i/>
          <w:iCs/>
        </w:rPr>
      </w:pPr>
      <w:r>
        <w:rPr>
          <w:b/>
          <w:bCs/>
          <w:i/>
          <w:iCs/>
        </w:rPr>
        <w:t xml:space="preserve">d) passengers and baggage security check, </w:t>
      </w:r>
    </w:p>
    <w:p w:rsidR="007331C3" w:rsidRDefault="007331C3" w:rsidP="007331C3">
      <w:r>
        <w:rPr>
          <w:b/>
          <w:bCs/>
          <w:i/>
          <w:iCs/>
        </w:rPr>
        <w:t>e) transport of weapons and information to aerodromes handling services.</w:t>
      </w:r>
      <w:r>
        <w:t xml:space="preserve"> “</w:t>
      </w:r>
    </w:p>
    <w:p w:rsidR="007331C3" w:rsidRDefault="007331C3" w:rsidP="007331C3"/>
    <w:p w:rsidR="007331C3" w:rsidRDefault="007331C3" w:rsidP="007331C3">
      <w:pPr>
        <w:rPr>
          <w:i/>
          <w:iCs/>
        </w:rPr>
      </w:pPr>
      <w:r>
        <w:rPr>
          <w:i/>
          <w:iCs/>
        </w:rPr>
        <w:t xml:space="preserve">We have to state that here above there are many doubts and unclear definitions for us. </w:t>
      </w:r>
    </w:p>
    <w:p w:rsidR="007331C3" w:rsidRDefault="007331C3" w:rsidP="007331C3">
      <w:pPr>
        <w:rPr>
          <w:i/>
          <w:iCs/>
        </w:rPr>
      </w:pPr>
    </w:p>
    <w:p w:rsidR="007331C3" w:rsidRDefault="007331C3" w:rsidP="007331C3">
      <w:pPr>
        <w:rPr>
          <w:i/>
          <w:iCs/>
        </w:rPr>
      </w:pPr>
      <w:r>
        <w:rPr>
          <w:i/>
          <w:iCs/>
        </w:rPr>
        <w:t>First of all, as an operator of Prishtina International Airport “ Adem Jashari”, we would like to know that who will be responsible and guarantee that the registered airports has fulfilled the security requirements of ICAO, ECAC and MIA of Kosovo and has an approved Airport Security Program and who will give the security services? We believe that clause 8.7. may create serious security issues for PRN which we cannot take that responsibility.</w:t>
      </w:r>
    </w:p>
    <w:p w:rsidR="007331C3" w:rsidRDefault="007331C3" w:rsidP="007331C3">
      <w:pPr>
        <w:rPr>
          <w:i/>
          <w:iCs/>
        </w:rPr>
      </w:pPr>
    </w:p>
    <w:p w:rsidR="007331C3" w:rsidRDefault="007331C3" w:rsidP="007331C3">
      <w:pPr>
        <w:rPr>
          <w:i/>
          <w:iCs/>
        </w:rPr>
      </w:pPr>
      <w:r>
        <w:rPr>
          <w:i/>
          <w:iCs/>
        </w:rPr>
        <w:t>Apart from security concerns, according the clause 8.7. (a), (b), (c), (d) and (e) the permission would possibly be granted by CAAK to operate commercial flights from any registered airport to PRN. However in Article 2 “Scope”, clause 2.3 mentioned that flights would be realized only from/to same registered airport within 50 NM radius area. It seems that there is a conflict between the clauses.</w:t>
      </w:r>
    </w:p>
    <w:p w:rsidR="007331C3" w:rsidRDefault="007331C3" w:rsidP="007331C3">
      <w:pPr>
        <w:rPr>
          <w:i/>
          <w:iCs/>
        </w:rPr>
      </w:pPr>
    </w:p>
    <w:p w:rsidR="007331C3" w:rsidRDefault="007331C3" w:rsidP="007331C3">
      <w:pPr>
        <w:rPr>
          <w:i/>
          <w:iCs/>
        </w:rPr>
      </w:pPr>
      <w:r>
        <w:rPr>
          <w:i/>
          <w:iCs/>
        </w:rPr>
        <w:t xml:space="preserve">In addition to all, we strongly believe that the regulation and PPP agreement must be strictly compared and checked for any possible conflict. There are some other questions/concerns that we have, such as provider of security service in registered airports, competency and training standards of them, prices in any registered airport for the security and other </w:t>
      </w:r>
      <w:r>
        <w:rPr>
          <w:i/>
          <w:iCs/>
        </w:rPr>
        <w:lastRenderedPageBreak/>
        <w:t>services, etc. that might be a contradiction between the regulation and PPP agreement regarding to “Commercial Airport exclusivity rights” and “ Grantor Obligations” terms  which has been described in PPP agreement.</w:t>
      </w:r>
    </w:p>
    <w:p w:rsidR="007331C3" w:rsidRDefault="007331C3" w:rsidP="007331C3">
      <w:pPr>
        <w:rPr>
          <w:i/>
          <w:iCs/>
        </w:rPr>
      </w:pPr>
    </w:p>
    <w:p w:rsidR="007331C3" w:rsidRDefault="007331C3" w:rsidP="007331C3">
      <w:pPr>
        <w:rPr>
          <w:rFonts w:ascii="Book Antiqua" w:hAnsi="Book Antiqua"/>
          <w:lang w:val="sq-AL"/>
        </w:rPr>
      </w:pPr>
      <w:r>
        <w:rPr>
          <w:i/>
          <w:iCs/>
        </w:rPr>
        <w:t xml:space="preserve">I would kindly ask your reconsideration of draft regulation based on our concerns and comments. After your reconsideration, due to sensitivity and specialty of the subject we are also aiming to share the draft regulation with our Legal Advisors to avoid to do such a mistake based on our obligations defined in PPP agreement. Due to that reason we would kindly like to ask for the extension of consultation process of this regulation until the end of September 2015 </w:t>
      </w:r>
      <w:r w:rsidRPr="007331C3">
        <w:rPr>
          <w:rFonts w:ascii="Book Antiqua" w:hAnsi="Book Antiqua"/>
          <w:lang w:val="sq-AL"/>
        </w:rPr>
        <w:t>(17 gusht 2015, ora 16:32, Gokmen Aritay-LKIA)</w:t>
      </w:r>
      <w:r>
        <w:rPr>
          <w:rFonts w:ascii="Book Antiqua" w:hAnsi="Book Antiqua"/>
          <w:lang w:val="sq-AL"/>
        </w:rPr>
        <w:t>.</w:t>
      </w:r>
    </w:p>
    <w:p w:rsidR="007331C3" w:rsidRDefault="007331C3" w:rsidP="007331C3">
      <w:pPr>
        <w:rPr>
          <w:rFonts w:ascii="Book Antiqua" w:hAnsi="Book Antiqua"/>
          <w:lang w:val="sq-AL"/>
        </w:rPr>
      </w:pPr>
    </w:p>
    <w:p w:rsidR="007331C3" w:rsidRDefault="007331C3" w:rsidP="007331C3">
      <w:pPr>
        <w:rPr>
          <w:rFonts w:ascii="Book Antiqua" w:hAnsi="Book Antiqua"/>
          <w:lang w:val="sq-AL"/>
        </w:rPr>
      </w:pPr>
      <w:r w:rsidRPr="00CD65B2">
        <w:rPr>
          <w:rFonts w:ascii="Book Antiqua" w:hAnsi="Book Antiqua"/>
          <w:b/>
          <w:lang w:val="sq-AL"/>
        </w:rPr>
        <w:t>P</w:t>
      </w:r>
      <w:r w:rsidR="00CD65B2">
        <w:rPr>
          <w:rFonts w:ascii="Book Antiqua" w:hAnsi="Book Antiqua"/>
          <w:b/>
          <w:lang w:val="sq-AL"/>
        </w:rPr>
        <w:t>ë</w:t>
      </w:r>
      <w:r w:rsidRPr="00CD65B2">
        <w:rPr>
          <w:rFonts w:ascii="Book Antiqua" w:hAnsi="Book Antiqua"/>
          <w:b/>
          <w:lang w:val="sq-AL"/>
        </w:rPr>
        <w:t>rgjigjet e AAC-s</w:t>
      </w:r>
      <w:r w:rsidR="00CD65B2">
        <w:rPr>
          <w:rFonts w:ascii="Book Antiqua" w:hAnsi="Book Antiqua"/>
          <w:b/>
          <w:lang w:val="sq-AL"/>
        </w:rPr>
        <w:t>ë</w:t>
      </w:r>
      <w:r>
        <w:rPr>
          <w:rFonts w:ascii="Book Antiqua" w:hAnsi="Book Antiqua"/>
          <w:lang w:val="sq-AL"/>
        </w:rPr>
        <w:t>: Lidhur me k</w:t>
      </w:r>
      <w:r w:rsidR="00CD65B2">
        <w:rPr>
          <w:rFonts w:ascii="Book Antiqua" w:hAnsi="Book Antiqua"/>
          <w:lang w:val="sq-AL"/>
        </w:rPr>
        <w:t>ë</w:t>
      </w:r>
      <w:r>
        <w:rPr>
          <w:rFonts w:ascii="Book Antiqua" w:hAnsi="Book Antiqua"/>
          <w:lang w:val="sq-AL"/>
        </w:rPr>
        <w:t xml:space="preserve">to komente </w:t>
      </w:r>
      <w:r w:rsidR="00CD65B2">
        <w:rPr>
          <w:rFonts w:ascii="Book Antiqua" w:hAnsi="Book Antiqua"/>
          <w:lang w:val="sq-AL"/>
        </w:rPr>
        <w:t>ë</w:t>
      </w:r>
      <w:r>
        <w:rPr>
          <w:rFonts w:ascii="Book Antiqua" w:hAnsi="Book Antiqua"/>
          <w:lang w:val="sq-AL"/>
        </w:rPr>
        <w:t>sht</w:t>
      </w:r>
      <w:r w:rsidR="00CD65B2">
        <w:rPr>
          <w:rFonts w:ascii="Book Antiqua" w:hAnsi="Book Antiqua"/>
          <w:lang w:val="sq-AL"/>
        </w:rPr>
        <w:t>ë</w:t>
      </w:r>
      <w:r>
        <w:rPr>
          <w:rFonts w:ascii="Book Antiqua" w:hAnsi="Book Antiqua"/>
          <w:lang w:val="sq-AL"/>
        </w:rPr>
        <w:t xml:space="preserve"> organizuar nj</w:t>
      </w:r>
      <w:r w:rsidR="00CD65B2">
        <w:rPr>
          <w:rFonts w:ascii="Book Antiqua" w:hAnsi="Book Antiqua"/>
          <w:lang w:val="sq-AL"/>
        </w:rPr>
        <w:t>ë</w:t>
      </w:r>
      <w:r>
        <w:rPr>
          <w:rFonts w:ascii="Book Antiqua" w:hAnsi="Book Antiqua"/>
          <w:lang w:val="sq-AL"/>
        </w:rPr>
        <w:t xml:space="preserve"> takim me 27 gusht 2015 n</w:t>
      </w:r>
      <w:r w:rsidR="00CD65B2">
        <w:rPr>
          <w:rFonts w:ascii="Book Antiqua" w:hAnsi="Book Antiqua"/>
          <w:lang w:val="sq-AL"/>
        </w:rPr>
        <w:t>ë</w:t>
      </w:r>
      <w:r>
        <w:rPr>
          <w:rFonts w:ascii="Book Antiqua" w:hAnsi="Book Antiqua"/>
          <w:lang w:val="sq-AL"/>
        </w:rPr>
        <w:t xml:space="preserve"> t</w:t>
      </w:r>
      <w:r w:rsidR="00CD65B2">
        <w:rPr>
          <w:rFonts w:ascii="Book Antiqua" w:hAnsi="Book Antiqua"/>
          <w:lang w:val="sq-AL"/>
        </w:rPr>
        <w:t>ë</w:t>
      </w:r>
      <w:r>
        <w:rPr>
          <w:rFonts w:ascii="Book Antiqua" w:hAnsi="Book Antiqua"/>
          <w:lang w:val="sq-AL"/>
        </w:rPr>
        <w:t xml:space="preserve"> cilin jan</w:t>
      </w:r>
      <w:r w:rsidR="00CD65B2">
        <w:rPr>
          <w:rFonts w:ascii="Book Antiqua" w:hAnsi="Book Antiqua"/>
          <w:lang w:val="sq-AL"/>
        </w:rPr>
        <w:t>ë</w:t>
      </w:r>
      <w:r>
        <w:rPr>
          <w:rFonts w:ascii="Book Antiqua" w:hAnsi="Book Antiqua"/>
          <w:lang w:val="sq-AL"/>
        </w:rPr>
        <w:t xml:space="preserve"> dh</w:t>
      </w:r>
      <w:r w:rsidR="00CD65B2">
        <w:rPr>
          <w:rFonts w:ascii="Book Antiqua" w:hAnsi="Book Antiqua"/>
          <w:lang w:val="sq-AL"/>
        </w:rPr>
        <w:t>ë</w:t>
      </w:r>
      <w:r>
        <w:rPr>
          <w:rFonts w:ascii="Book Antiqua" w:hAnsi="Book Antiqua"/>
          <w:lang w:val="sq-AL"/>
        </w:rPr>
        <w:t>n</w:t>
      </w:r>
      <w:r w:rsidR="00CD65B2">
        <w:rPr>
          <w:rFonts w:ascii="Book Antiqua" w:hAnsi="Book Antiqua"/>
          <w:lang w:val="sq-AL"/>
        </w:rPr>
        <w:t>ë</w:t>
      </w:r>
      <w:r>
        <w:rPr>
          <w:rFonts w:ascii="Book Antiqua" w:hAnsi="Book Antiqua"/>
          <w:lang w:val="sq-AL"/>
        </w:rPr>
        <w:t xml:space="preserve"> sqarime shtes</w:t>
      </w:r>
      <w:r w:rsidR="00CD65B2">
        <w:rPr>
          <w:rFonts w:ascii="Book Antiqua" w:hAnsi="Book Antiqua"/>
          <w:lang w:val="sq-AL"/>
        </w:rPr>
        <w:t>ë</w:t>
      </w:r>
      <w:r>
        <w:rPr>
          <w:rFonts w:ascii="Book Antiqua" w:hAnsi="Book Antiqua"/>
          <w:lang w:val="sq-AL"/>
        </w:rPr>
        <w:t xml:space="preserve"> operatorit t</w:t>
      </w:r>
      <w:r w:rsidR="00CD65B2">
        <w:rPr>
          <w:rFonts w:ascii="Book Antiqua" w:hAnsi="Book Antiqua"/>
          <w:lang w:val="sq-AL"/>
        </w:rPr>
        <w:t>ë</w:t>
      </w:r>
      <w:r>
        <w:rPr>
          <w:rFonts w:ascii="Book Antiqua" w:hAnsi="Book Antiqua"/>
          <w:lang w:val="sq-AL"/>
        </w:rPr>
        <w:t xml:space="preserve"> ANP “Adem Jashari” dhe </w:t>
      </w:r>
      <w:r w:rsidR="00CD65B2">
        <w:rPr>
          <w:rFonts w:ascii="Book Antiqua" w:hAnsi="Book Antiqua"/>
          <w:lang w:val="sq-AL"/>
        </w:rPr>
        <w:t>ë</w:t>
      </w:r>
      <w:r>
        <w:rPr>
          <w:rFonts w:ascii="Book Antiqua" w:hAnsi="Book Antiqua"/>
          <w:lang w:val="sq-AL"/>
        </w:rPr>
        <w:t>sht</w:t>
      </w:r>
      <w:r w:rsidR="00CD65B2">
        <w:rPr>
          <w:rFonts w:ascii="Book Antiqua" w:hAnsi="Book Antiqua"/>
          <w:lang w:val="sq-AL"/>
        </w:rPr>
        <w:t>ë</w:t>
      </w:r>
      <w:r>
        <w:rPr>
          <w:rFonts w:ascii="Book Antiqua" w:hAnsi="Book Antiqua"/>
          <w:lang w:val="sq-AL"/>
        </w:rPr>
        <w:t xml:space="preserve"> shtuar nj</w:t>
      </w:r>
      <w:r w:rsidR="00CD65B2">
        <w:rPr>
          <w:rFonts w:ascii="Book Antiqua" w:hAnsi="Book Antiqua"/>
          <w:lang w:val="sq-AL"/>
        </w:rPr>
        <w:t>ë</w:t>
      </w:r>
      <w:r>
        <w:rPr>
          <w:rFonts w:ascii="Book Antiqua" w:hAnsi="Book Antiqua"/>
          <w:lang w:val="sq-AL"/>
        </w:rPr>
        <w:t xml:space="preserve"> definicion i ri n</w:t>
      </w:r>
      <w:r w:rsidR="00CD65B2">
        <w:rPr>
          <w:rFonts w:ascii="Book Antiqua" w:hAnsi="Book Antiqua"/>
          <w:lang w:val="sq-AL"/>
        </w:rPr>
        <w:t>ë</w:t>
      </w:r>
      <w:r>
        <w:rPr>
          <w:rFonts w:ascii="Book Antiqua" w:hAnsi="Book Antiqua"/>
          <w:lang w:val="sq-AL"/>
        </w:rPr>
        <w:t xml:space="preserve"> nenin 2 p</w:t>
      </w:r>
      <w:r w:rsidR="00CD65B2">
        <w:rPr>
          <w:rFonts w:ascii="Book Antiqua" w:hAnsi="Book Antiqua"/>
          <w:lang w:val="sq-AL"/>
        </w:rPr>
        <w:t>ë</w:t>
      </w:r>
      <w:r>
        <w:rPr>
          <w:rFonts w:ascii="Book Antiqua" w:hAnsi="Book Antiqua"/>
          <w:lang w:val="sq-AL"/>
        </w:rPr>
        <w:t>r “fluturimet komerciale”.</w:t>
      </w:r>
      <w:r w:rsidR="00CD65B2">
        <w:rPr>
          <w:rFonts w:ascii="Book Antiqua" w:hAnsi="Book Antiqua"/>
          <w:lang w:val="sq-AL"/>
        </w:rPr>
        <w:t xml:space="preserve"> </w:t>
      </w:r>
      <w:r w:rsidR="00A70F51">
        <w:rPr>
          <w:rFonts w:ascii="Book Antiqua" w:hAnsi="Book Antiqua"/>
          <w:lang w:val="sq-AL"/>
        </w:rPr>
        <w:t>Gjithashtu,  është qartësuar</w:t>
      </w:r>
      <w:r w:rsidR="003450CE">
        <w:rPr>
          <w:rFonts w:ascii="Book Antiqua" w:hAnsi="Book Antiqua"/>
          <w:lang w:val="sq-AL"/>
        </w:rPr>
        <w:t xml:space="preserve"> se, për tu pajisur me </w:t>
      </w:r>
      <w:r w:rsidR="003450CE" w:rsidRPr="003450CE">
        <w:rPr>
          <w:rFonts w:ascii="Book Antiqua" w:hAnsi="Book Antiqua"/>
          <w:lang w:val="sq-AL"/>
        </w:rPr>
        <w:t xml:space="preserve">leje për shfrytëzim </w:t>
      </w:r>
      <w:r w:rsidR="00FE01E3">
        <w:rPr>
          <w:rFonts w:ascii="Book Antiqua" w:hAnsi="Book Antiqua"/>
          <w:lang w:val="sq-AL"/>
        </w:rPr>
        <w:t>të</w:t>
      </w:r>
      <w:r w:rsidR="003450CE" w:rsidRPr="003450CE">
        <w:rPr>
          <w:rFonts w:ascii="Book Antiqua" w:hAnsi="Book Antiqua"/>
          <w:lang w:val="sq-AL"/>
        </w:rPr>
        <w:t xml:space="preserve"> aerodromit të regjistruar</w:t>
      </w:r>
      <w:r w:rsidR="003450CE">
        <w:rPr>
          <w:rFonts w:ascii="Book Antiqua" w:hAnsi="Book Antiqua"/>
          <w:lang w:val="sq-AL"/>
        </w:rPr>
        <w:t>,</w:t>
      </w:r>
      <w:r w:rsidR="00641A1A">
        <w:rPr>
          <w:rFonts w:ascii="Book Antiqua" w:hAnsi="Book Antiqua"/>
          <w:lang w:val="sq-AL"/>
        </w:rPr>
        <w:t xml:space="preserve"> </w:t>
      </w:r>
      <w:r w:rsidR="003450CE">
        <w:rPr>
          <w:rFonts w:ascii="Book Antiqua" w:hAnsi="Book Antiqua"/>
          <w:lang w:val="sq-AL"/>
        </w:rPr>
        <w:t xml:space="preserve"> </w:t>
      </w:r>
      <w:r w:rsidR="00C617A1">
        <w:rPr>
          <w:rFonts w:ascii="Book Antiqua" w:hAnsi="Book Antiqua"/>
          <w:lang w:val="sq-AL"/>
        </w:rPr>
        <w:t>pala e</w:t>
      </w:r>
      <w:r w:rsidR="00C06F22">
        <w:rPr>
          <w:rFonts w:ascii="Book Antiqua" w:hAnsi="Book Antiqua"/>
          <w:lang w:val="sq-AL"/>
        </w:rPr>
        <w:t xml:space="preserve"> tretë</w:t>
      </w:r>
      <w:r w:rsidR="00C617A1">
        <w:rPr>
          <w:rFonts w:ascii="Book Antiqua" w:hAnsi="Book Antiqua"/>
          <w:lang w:val="sq-AL"/>
        </w:rPr>
        <w:t xml:space="preserve"> (operatori tjetër ajror)</w:t>
      </w:r>
      <w:r w:rsidR="00E840BB" w:rsidRPr="003450CE">
        <w:rPr>
          <w:rFonts w:ascii="Book Antiqua" w:hAnsi="Book Antiqua"/>
          <w:lang w:val="sq-AL"/>
        </w:rPr>
        <w:t xml:space="preserve"> </w:t>
      </w:r>
      <w:r w:rsidR="00E840BB">
        <w:rPr>
          <w:rFonts w:ascii="Book Antiqua" w:hAnsi="Book Antiqua"/>
          <w:lang w:val="sq-AL"/>
        </w:rPr>
        <w:t>duhe</w:t>
      </w:r>
      <w:r w:rsidR="00C06F22">
        <w:rPr>
          <w:rFonts w:ascii="Book Antiqua" w:hAnsi="Book Antiqua"/>
          <w:lang w:val="sq-AL"/>
        </w:rPr>
        <w:t>t</w:t>
      </w:r>
      <w:r w:rsidR="00E840BB">
        <w:rPr>
          <w:rFonts w:ascii="Book Antiqua" w:hAnsi="Book Antiqua"/>
          <w:lang w:val="sq-AL"/>
        </w:rPr>
        <w:t xml:space="preserve"> të </w:t>
      </w:r>
      <w:r w:rsidR="00FE01E3">
        <w:rPr>
          <w:rFonts w:ascii="Book Antiqua" w:hAnsi="Book Antiqua"/>
          <w:lang w:val="sq-AL"/>
        </w:rPr>
        <w:t xml:space="preserve">dorëzoj </w:t>
      </w:r>
      <w:r w:rsidR="005673E0">
        <w:rPr>
          <w:rFonts w:ascii="Book Antiqua" w:hAnsi="Book Antiqua"/>
          <w:lang w:val="sq-AL"/>
        </w:rPr>
        <w:t>në</w:t>
      </w:r>
      <w:r w:rsidR="00FE01E3">
        <w:rPr>
          <w:rFonts w:ascii="Book Antiqua" w:hAnsi="Book Antiqua"/>
          <w:lang w:val="sq-AL"/>
        </w:rPr>
        <w:t xml:space="preserve"> AAC</w:t>
      </w:r>
      <w:r w:rsidR="005673E0">
        <w:rPr>
          <w:rFonts w:ascii="Book Antiqua" w:hAnsi="Book Antiqua"/>
          <w:lang w:val="sq-AL"/>
        </w:rPr>
        <w:t xml:space="preserve"> </w:t>
      </w:r>
      <w:r w:rsidR="000E0843">
        <w:rPr>
          <w:rFonts w:ascii="Book Antiqua" w:hAnsi="Book Antiqua"/>
          <w:lang w:val="sq-AL"/>
        </w:rPr>
        <w:t>deklaratën</w:t>
      </w:r>
      <w:r w:rsidR="000E0843" w:rsidRPr="000E0843">
        <w:rPr>
          <w:rFonts w:ascii="Book Antiqua" w:hAnsi="Book Antiqua"/>
          <w:lang w:val="sq-AL"/>
        </w:rPr>
        <w:t xml:space="preserve"> që karakteristikat fizike të aerodromit janë në përputhje me kërkesat teknike të avionëve që do të shfrytëzojnë aerodromin</w:t>
      </w:r>
      <w:r w:rsidR="000E0843">
        <w:rPr>
          <w:rFonts w:ascii="Book Antiqua" w:hAnsi="Book Antiqua"/>
          <w:lang w:val="sq-AL"/>
        </w:rPr>
        <w:t xml:space="preserve">, </w:t>
      </w:r>
      <w:r w:rsidR="00FE01E3">
        <w:rPr>
          <w:rFonts w:ascii="Book Antiqua" w:hAnsi="Book Antiqua"/>
          <w:lang w:val="sq-AL"/>
        </w:rPr>
        <w:t>n</w:t>
      </w:r>
      <w:r w:rsidR="000E0843">
        <w:rPr>
          <w:rFonts w:ascii="Book Antiqua" w:hAnsi="Book Antiqua"/>
          <w:lang w:val="sq-AL"/>
        </w:rPr>
        <w:t>ë</w:t>
      </w:r>
      <w:r w:rsidR="00FE01E3">
        <w:rPr>
          <w:rFonts w:ascii="Book Antiqua" w:hAnsi="Book Antiqua"/>
          <w:lang w:val="sq-AL"/>
        </w:rPr>
        <w:t xml:space="preserve"> pajtim me nenin 5.2 d).</w:t>
      </w:r>
      <w:r w:rsidR="00E840BB">
        <w:rPr>
          <w:rFonts w:ascii="Book Antiqua" w:hAnsi="Book Antiqua"/>
          <w:lang w:val="sq-AL"/>
        </w:rPr>
        <w:t xml:space="preserve"> </w:t>
      </w:r>
      <w:r w:rsidR="00CD65B2">
        <w:rPr>
          <w:rFonts w:ascii="Book Antiqua" w:hAnsi="Book Antiqua"/>
          <w:lang w:val="sq-AL"/>
        </w:rPr>
        <w:t>Sa i përket kërkesave për nga aspekti i cështjeve të sigurimit, AACK ka bërë me dije se kjo është në kompetencë të Ministrisë së Punëve të Brendshme.</w:t>
      </w:r>
    </w:p>
    <w:p w:rsidR="007331C3" w:rsidRDefault="007331C3" w:rsidP="007331C3">
      <w:pPr>
        <w:rPr>
          <w:rFonts w:ascii="Book Antiqua" w:hAnsi="Book Antiqua"/>
          <w:lang w:val="sq-AL"/>
        </w:rPr>
      </w:pPr>
    </w:p>
    <w:p w:rsidR="007331C3" w:rsidRDefault="007331C3" w:rsidP="007331C3">
      <w:pPr>
        <w:pStyle w:val="ListParagraph"/>
        <w:numPr>
          <w:ilvl w:val="0"/>
          <w:numId w:val="37"/>
        </w:numPr>
        <w:rPr>
          <w:rFonts w:ascii="Book Antiqua" w:hAnsi="Book Antiqua"/>
          <w:b/>
          <w:bCs/>
          <w:lang w:val="sq-AL"/>
        </w:rPr>
      </w:pPr>
      <w:r w:rsidRPr="007331C3">
        <w:rPr>
          <w:rFonts w:ascii="Book Antiqua" w:hAnsi="Book Antiqua"/>
          <w:b/>
          <w:bCs/>
        </w:rPr>
        <w:t xml:space="preserve">Rregullore nr. xxx/2015 </w:t>
      </w:r>
      <w:r w:rsidRPr="007331C3">
        <w:rPr>
          <w:rFonts w:ascii="Book Antiqua" w:hAnsi="Book Antiqua"/>
          <w:b/>
          <w:bCs/>
          <w:lang w:val="sq-AL"/>
        </w:rPr>
        <w:t>e cila përcakton rregullat implementuese per listën e komunitetit të transportuesve  ajror të cilët i nënsh</w:t>
      </w:r>
      <w:r>
        <w:rPr>
          <w:rFonts w:ascii="Book Antiqua" w:hAnsi="Book Antiqua"/>
          <w:b/>
          <w:bCs/>
          <w:lang w:val="sq-AL"/>
        </w:rPr>
        <w:t xml:space="preserve">trohen ndalimit të operimeve </w:t>
      </w:r>
      <w:r w:rsidRPr="007331C3">
        <w:rPr>
          <w:rFonts w:ascii="Book Antiqua" w:hAnsi="Book Antiqua"/>
          <w:b/>
          <w:bCs/>
          <w:lang w:val="sq-AL"/>
        </w:rPr>
        <w:t>brenda komunitetit</w:t>
      </w:r>
    </w:p>
    <w:p w:rsidR="007331C3" w:rsidRDefault="007331C3" w:rsidP="007331C3">
      <w:pPr>
        <w:ind w:left="360"/>
        <w:rPr>
          <w:rFonts w:ascii="Book Antiqua" w:hAnsi="Book Antiqua"/>
          <w:b/>
          <w:bCs/>
          <w:lang w:val="sq-AL"/>
        </w:rPr>
      </w:pPr>
      <w:r>
        <w:rPr>
          <w:rFonts w:ascii="Book Antiqua" w:hAnsi="Book Antiqua"/>
          <w:b/>
          <w:bCs/>
          <w:lang w:val="sq-AL"/>
        </w:rPr>
        <w:t>Nuk ka komente</w:t>
      </w:r>
    </w:p>
    <w:p w:rsidR="007331C3" w:rsidRPr="007331C3" w:rsidRDefault="007331C3" w:rsidP="007331C3">
      <w:pPr>
        <w:ind w:left="360"/>
        <w:rPr>
          <w:rFonts w:ascii="Book Antiqua" w:hAnsi="Book Antiqua"/>
          <w:b/>
          <w:bCs/>
          <w:lang w:val="sq-AL"/>
        </w:rPr>
      </w:pPr>
    </w:p>
    <w:p w:rsidR="007331C3" w:rsidRDefault="007331C3" w:rsidP="007331C3">
      <w:pPr>
        <w:pStyle w:val="ListParagraph"/>
        <w:numPr>
          <w:ilvl w:val="0"/>
          <w:numId w:val="37"/>
        </w:numPr>
        <w:rPr>
          <w:rFonts w:ascii="Book Antiqua" w:hAnsi="Book Antiqua"/>
          <w:b/>
          <w:bCs/>
          <w:lang w:val="sq-AL"/>
        </w:rPr>
      </w:pPr>
      <w:r w:rsidRPr="007331C3">
        <w:rPr>
          <w:rFonts w:ascii="Book Antiqua" w:hAnsi="Book Antiqua"/>
          <w:b/>
          <w:bCs/>
          <w:lang w:val="sq-AL"/>
        </w:rPr>
        <w:t>Rregullore nr. xx/2015 për themelimin e listës së komunitetit të transportuesve  ajror të cilët i nënshtrohen ndalimit të operimeve brenda komunitetit</w:t>
      </w:r>
    </w:p>
    <w:p w:rsidR="007331C3" w:rsidRDefault="007331C3" w:rsidP="007331C3">
      <w:pPr>
        <w:ind w:left="360"/>
        <w:rPr>
          <w:rFonts w:ascii="Book Antiqua" w:hAnsi="Book Antiqua"/>
          <w:b/>
          <w:bCs/>
          <w:lang w:val="sq-AL"/>
        </w:rPr>
      </w:pPr>
      <w:r>
        <w:rPr>
          <w:rFonts w:ascii="Book Antiqua" w:hAnsi="Book Antiqua"/>
          <w:b/>
          <w:bCs/>
          <w:lang w:val="sq-AL"/>
        </w:rPr>
        <w:t>Nuk ka komente</w:t>
      </w:r>
    </w:p>
    <w:p w:rsidR="007331C3" w:rsidRPr="007331C3" w:rsidRDefault="007331C3" w:rsidP="007331C3">
      <w:pPr>
        <w:ind w:left="360"/>
        <w:rPr>
          <w:rFonts w:ascii="Book Antiqua" w:hAnsi="Book Antiqua"/>
          <w:b/>
          <w:bCs/>
          <w:lang w:val="sq-AL"/>
        </w:rPr>
      </w:pPr>
    </w:p>
    <w:p w:rsidR="007331C3" w:rsidRDefault="007331C3" w:rsidP="007331C3">
      <w:pPr>
        <w:pStyle w:val="ListParagraph"/>
        <w:numPr>
          <w:ilvl w:val="0"/>
          <w:numId w:val="37"/>
        </w:numPr>
        <w:rPr>
          <w:rFonts w:ascii="Book Antiqua" w:hAnsi="Book Antiqua"/>
          <w:b/>
          <w:bCs/>
          <w:lang w:val="sq-AL"/>
        </w:rPr>
      </w:pPr>
      <w:r w:rsidRPr="007331C3">
        <w:rPr>
          <w:rFonts w:ascii="Book Antiqua" w:hAnsi="Book Antiqua"/>
          <w:b/>
          <w:bCs/>
          <w:lang w:val="sq-AL"/>
        </w:rPr>
        <w:t>Rregullore nr. xx/2015 për themelimin e listës së komunitetit të transportuesve ajror të cilët i nënshtrohen ndalimit të operimeve brenda komunitetit dhe në lidhje me informimin e aviopasagjerëve për identitetin e transportuesit ajror</w:t>
      </w:r>
    </w:p>
    <w:p w:rsidR="007331C3" w:rsidRDefault="007331C3" w:rsidP="007331C3">
      <w:pPr>
        <w:ind w:left="360"/>
        <w:rPr>
          <w:rFonts w:ascii="Book Antiqua" w:hAnsi="Book Antiqua"/>
          <w:b/>
          <w:bCs/>
          <w:lang w:val="sq-AL"/>
        </w:rPr>
      </w:pPr>
      <w:r>
        <w:rPr>
          <w:rFonts w:ascii="Book Antiqua" w:hAnsi="Book Antiqua"/>
          <w:b/>
          <w:bCs/>
          <w:lang w:val="sq-AL"/>
        </w:rPr>
        <w:t>Nuk ka komente</w:t>
      </w:r>
    </w:p>
    <w:p w:rsidR="007331C3" w:rsidRPr="007331C3" w:rsidRDefault="007331C3" w:rsidP="007331C3">
      <w:pPr>
        <w:ind w:left="360"/>
        <w:rPr>
          <w:rFonts w:ascii="Book Antiqua" w:hAnsi="Book Antiqua"/>
          <w:b/>
          <w:bCs/>
          <w:lang w:val="sq-AL"/>
        </w:rPr>
      </w:pPr>
    </w:p>
    <w:p w:rsidR="007331C3" w:rsidRDefault="007331C3" w:rsidP="007331C3">
      <w:pPr>
        <w:pStyle w:val="ListParagraph"/>
        <w:numPr>
          <w:ilvl w:val="0"/>
          <w:numId w:val="37"/>
        </w:numPr>
        <w:rPr>
          <w:rFonts w:ascii="Book Antiqua" w:hAnsi="Book Antiqua"/>
          <w:b/>
          <w:bCs/>
          <w:lang w:val="sq-AL"/>
        </w:rPr>
      </w:pPr>
      <w:r w:rsidRPr="007331C3">
        <w:rPr>
          <w:rFonts w:ascii="Book Antiqua" w:hAnsi="Book Antiqua"/>
          <w:b/>
          <w:bCs/>
          <w:lang w:val="sq-AL"/>
        </w:rPr>
        <w:t>Rregullore nr. xx/2015 për mbledhjen dhe shkëmbimin e informatave mbi sigurinë e mjeteve ajrore të cilat përdorin aeroportet e komunitetit dhe menaxhimin e sistemit të informatave</w:t>
      </w:r>
    </w:p>
    <w:p w:rsidR="007331C3" w:rsidRDefault="007331C3" w:rsidP="007331C3">
      <w:pPr>
        <w:ind w:left="360"/>
        <w:rPr>
          <w:rFonts w:ascii="Book Antiqua" w:hAnsi="Book Antiqua"/>
          <w:b/>
          <w:bCs/>
          <w:lang w:val="sq-AL"/>
        </w:rPr>
      </w:pPr>
      <w:r>
        <w:rPr>
          <w:rFonts w:ascii="Book Antiqua" w:hAnsi="Book Antiqua"/>
          <w:b/>
          <w:bCs/>
          <w:lang w:val="sq-AL"/>
        </w:rPr>
        <w:t>Nuk ka komente</w:t>
      </w:r>
    </w:p>
    <w:p w:rsidR="007331C3" w:rsidRPr="007331C3" w:rsidRDefault="007331C3" w:rsidP="007331C3">
      <w:pPr>
        <w:ind w:left="360"/>
        <w:rPr>
          <w:rFonts w:ascii="Book Antiqua" w:hAnsi="Book Antiqua"/>
          <w:b/>
          <w:bCs/>
          <w:lang w:val="sq-AL"/>
        </w:rPr>
      </w:pPr>
    </w:p>
    <w:p w:rsidR="007331C3" w:rsidRPr="007331C3" w:rsidRDefault="007331C3" w:rsidP="007331C3">
      <w:pPr>
        <w:pStyle w:val="ListParagraph"/>
        <w:numPr>
          <w:ilvl w:val="0"/>
          <w:numId w:val="37"/>
        </w:numPr>
        <w:rPr>
          <w:rFonts w:ascii="Book Antiqua" w:hAnsi="Book Antiqua"/>
          <w:b/>
          <w:bCs/>
          <w:caps/>
        </w:rPr>
      </w:pPr>
      <w:r w:rsidRPr="007331C3">
        <w:rPr>
          <w:rFonts w:ascii="Book Antiqua" w:hAnsi="Book Antiqua"/>
          <w:b/>
          <w:bCs/>
        </w:rPr>
        <w:lastRenderedPageBreak/>
        <w:t>Rregullore nr. xx/2015</w:t>
      </w:r>
      <w:r w:rsidRPr="007331C3">
        <w:rPr>
          <w:rFonts w:ascii="Book Antiqua" w:hAnsi="Book Antiqua"/>
          <w:b/>
          <w:bCs/>
          <w:caps/>
        </w:rPr>
        <w:t xml:space="preserve"> </w:t>
      </w:r>
      <w:r w:rsidRPr="007331C3">
        <w:rPr>
          <w:rFonts w:ascii="Book Antiqua" w:hAnsi="Book Antiqua"/>
          <w:b/>
          <w:bCs/>
        </w:rPr>
        <w:t>për prioritizimin e inspektimeve në platformë të mjeteve ajrore që përdorin aeroportet e komunitetit</w:t>
      </w:r>
    </w:p>
    <w:p w:rsidR="007331C3" w:rsidRPr="007331C3" w:rsidRDefault="007331C3" w:rsidP="007331C3">
      <w:pPr>
        <w:ind w:left="360"/>
        <w:rPr>
          <w:rFonts w:ascii="Book Antiqua" w:hAnsi="Book Antiqua"/>
          <w:b/>
          <w:bCs/>
          <w:caps/>
        </w:rPr>
      </w:pPr>
      <w:r>
        <w:rPr>
          <w:rFonts w:ascii="Book Antiqua" w:hAnsi="Book Antiqua"/>
          <w:b/>
          <w:bCs/>
        </w:rPr>
        <w:t>Nuk ka komente</w:t>
      </w:r>
    </w:p>
    <w:p w:rsidR="007331C3" w:rsidRPr="007331C3" w:rsidRDefault="007331C3" w:rsidP="007331C3">
      <w:pPr>
        <w:rPr>
          <w:i/>
          <w:iCs/>
        </w:rPr>
      </w:pPr>
    </w:p>
    <w:p w:rsidR="00E47956" w:rsidRPr="00166313" w:rsidRDefault="00E47956" w:rsidP="00293412">
      <w:pPr>
        <w:jc w:val="both"/>
        <w:rPr>
          <w:rFonts w:ascii="Book Antiqua" w:hAnsi="Book Antiqua"/>
          <w:sz w:val="22"/>
          <w:szCs w:val="22"/>
          <w:lang w:val="sq-AL"/>
        </w:rPr>
      </w:pPr>
    </w:p>
    <w:p w:rsidR="00664C95" w:rsidRPr="00166313" w:rsidRDefault="003B4553" w:rsidP="003B4553">
      <w:pPr>
        <w:pStyle w:val="ListParagraph"/>
        <w:numPr>
          <w:ilvl w:val="0"/>
          <w:numId w:val="2"/>
        </w:numPr>
        <w:tabs>
          <w:tab w:val="left" w:pos="4035"/>
        </w:tabs>
        <w:rPr>
          <w:rFonts w:ascii="Book Antiqua" w:hAnsi="Book Antiqua"/>
          <w:b/>
          <w:lang w:val="sq-AL"/>
        </w:rPr>
      </w:pPr>
      <w:r w:rsidRPr="00166313">
        <w:rPr>
          <w:rFonts w:ascii="Book Antiqua" w:hAnsi="Book Antiqua"/>
          <w:b/>
          <w:lang w:val="sq-AL"/>
        </w:rPr>
        <w:t>P</w:t>
      </w:r>
      <w:r w:rsidR="00E14869" w:rsidRPr="00166313">
        <w:rPr>
          <w:rFonts w:ascii="Book Antiqua" w:hAnsi="Book Antiqua"/>
          <w:b/>
          <w:lang w:val="sq-AL"/>
        </w:rPr>
        <w:t>Ë</w:t>
      </w:r>
      <w:r w:rsidRPr="00166313">
        <w:rPr>
          <w:rFonts w:ascii="Book Antiqua" w:hAnsi="Book Antiqua"/>
          <w:b/>
          <w:lang w:val="sq-AL"/>
        </w:rPr>
        <w:t>RFUNDIM</w:t>
      </w:r>
    </w:p>
    <w:p w:rsidR="008510FE" w:rsidRPr="00166313" w:rsidRDefault="003B4553" w:rsidP="00462C67">
      <w:pPr>
        <w:tabs>
          <w:tab w:val="left" w:pos="4035"/>
        </w:tabs>
        <w:jc w:val="both"/>
        <w:rPr>
          <w:rFonts w:ascii="Book Antiqua" w:hAnsi="Book Antiqua"/>
          <w:sz w:val="22"/>
          <w:szCs w:val="22"/>
          <w:lang w:val="sq-AL"/>
        </w:rPr>
      </w:pPr>
      <w:r w:rsidRPr="00166313">
        <w:rPr>
          <w:rFonts w:ascii="Book Antiqua" w:hAnsi="Book Antiqua"/>
          <w:sz w:val="22"/>
          <w:szCs w:val="22"/>
          <w:lang w:val="sq-AL"/>
        </w:rPr>
        <w:t>Gjat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faz</w:t>
      </w:r>
      <w:r w:rsidR="00E14869" w:rsidRPr="00166313">
        <w:rPr>
          <w:rFonts w:ascii="Book Antiqua" w:hAnsi="Book Antiqua"/>
          <w:sz w:val="22"/>
          <w:szCs w:val="22"/>
          <w:lang w:val="sq-AL"/>
        </w:rPr>
        <w:t>ë</w:t>
      </w:r>
      <w:r w:rsidRPr="00166313">
        <w:rPr>
          <w:rFonts w:ascii="Book Antiqua" w:hAnsi="Book Antiqua"/>
          <w:sz w:val="22"/>
          <w:szCs w:val="22"/>
          <w:lang w:val="sq-AL"/>
        </w:rPr>
        <w:t>s s</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konsultimit publik 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pal</w:t>
      </w:r>
      <w:r w:rsidR="00E14869" w:rsidRPr="00166313">
        <w:rPr>
          <w:rFonts w:ascii="Book Antiqua" w:hAnsi="Book Antiqua"/>
          <w:sz w:val="22"/>
          <w:szCs w:val="22"/>
          <w:lang w:val="sq-AL"/>
        </w:rPr>
        <w:t>ë</w:t>
      </w:r>
      <w:r w:rsidRPr="00166313">
        <w:rPr>
          <w:rFonts w:ascii="Book Antiqua" w:hAnsi="Book Antiqua"/>
          <w:sz w:val="22"/>
          <w:szCs w:val="22"/>
          <w:lang w:val="sq-AL"/>
        </w:rPr>
        <w:t>ve t</w:t>
      </w:r>
      <w:r w:rsidR="00E14869" w:rsidRPr="00166313">
        <w:rPr>
          <w:rFonts w:ascii="Book Antiqua" w:hAnsi="Book Antiqua"/>
          <w:sz w:val="22"/>
          <w:szCs w:val="22"/>
          <w:lang w:val="sq-AL"/>
        </w:rPr>
        <w:t>ë</w:t>
      </w:r>
      <w:r w:rsidRPr="00166313">
        <w:rPr>
          <w:rFonts w:ascii="Book Antiqua" w:hAnsi="Book Antiqua"/>
          <w:sz w:val="22"/>
          <w:szCs w:val="22"/>
          <w:lang w:val="sq-AL"/>
        </w:rPr>
        <w:t xml:space="preserve"> interesi</w:t>
      </w:r>
      <w:r w:rsidR="007331C3">
        <w:rPr>
          <w:rFonts w:ascii="Book Antiqua" w:hAnsi="Book Antiqua"/>
          <w:sz w:val="22"/>
          <w:szCs w:val="22"/>
          <w:lang w:val="sq-AL"/>
        </w:rPr>
        <w:t>t lidhur me projekt-rregullore</w:t>
      </w:r>
      <w:r w:rsidR="00CD65B2">
        <w:rPr>
          <w:rFonts w:ascii="Book Antiqua" w:hAnsi="Book Antiqua"/>
          <w:sz w:val="22"/>
          <w:szCs w:val="22"/>
          <w:lang w:val="sq-AL"/>
        </w:rPr>
        <w:t>n nr. 1 janë</w:t>
      </w:r>
      <w:r w:rsidR="007331C3">
        <w:rPr>
          <w:rFonts w:ascii="Book Antiqua" w:hAnsi="Book Antiqua"/>
          <w:sz w:val="22"/>
          <w:szCs w:val="22"/>
          <w:lang w:val="sq-AL"/>
        </w:rPr>
        <w:t xml:space="preserve"> pranuar </w:t>
      </w:r>
      <w:r w:rsidR="00CD65B2">
        <w:rPr>
          <w:rFonts w:ascii="Book Antiqua" w:hAnsi="Book Antiqua"/>
          <w:sz w:val="22"/>
          <w:szCs w:val="22"/>
          <w:lang w:val="sq-AL"/>
        </w:rPr>
        <w:t>dy</w:t>
      </w:r>
      <w:r w:rsidR="007331C3">
        <w:rPr>
          <w:rFonts w:ascii="Book Antiqua" w:hAnsi="Book Antiqua"/>
          <w:sz w:val="22"/>
          <w:szCs w:val="22"/>
          <w:lang w:val="sq-AL"/>
        </w:rPr>
        <w:t xml:space="preserve"> koment</w:t>
      </w:r>
      <w:r w:rsidR="00CD65B2">
        <w:rPr>
          <w:rFonts w:ascii="Book Antiqua" w:hAnsi="Book Antiqua"/>
          <w:sz w:val="22"/>
          <w:szCs w:val="22"/>
          <w:lang w:val="sq-AL"/>
        </w:rPr>
        <w:t>e</w:t>
      </w:r>
      <w:r w:rsidR="007331C3">
        <w:rPr>
          <w:rFonts w:ascii="Book Antiqua" w:hAnsi="Book Antiqua"/>
          <w:sz w:val="22"/>
          <w:szCs w:val="22"/>
          <w:lang w:val="sq-AL"/>
        </w:rPr>
        <w:t>/sugjerim</w:t>
      </w:r>
      <w:r w:rsidR="00CD65B2">
        <w:rPr>
          <w:rFonts w:ascii="Book Antiqua" w:hAnsi="Book Antiqua"/>
          <w:sz w:val="22"/>
          <w:szCs w:val="22"/>
          <w:lang w:val="sq-AL"/>
        </w:rPr>
        <w:t>e, AACK e ka pranuar dhe adresuar njërin, ndërsa tjetrin e ka refuzuar.</w:t>
      </w:r>
    </w:p>
    <w:p w:rsidR="00E33131" w:rsidRDefault="00E33131" w:rsidP="00462C67">
      <w:pPr>
        <w:tabs>
          <w:tab w:val="left" w:pos="4035"/>
        </w:tabs>
        <w:jc w:val="both"/>
        <w:rPr>
          <w:rFonts w:ascii="Book Antiqua" w:hAnsi="Book Antiqua"/>
          <w:sz w:val="22"/>
          <w:szCs w:val="22"/>
          <w:lang w:val="sq-AL"/>
        </w:rPr>
      </w:pPr>
    </w:p>
    <w:p w:rsidR="00E33131" w:rsidRPr="00166313" w:rsidRDefault="00E33131" w:rsidP="00462C67">
      <w:pPr>
        <w:tabs>
          <w:tab w:val="left" w:pos="4035"/>
        </w:tabs>
        <w:jc w:val="both"/>
        <w:rPr>
          <w:rFonts w:ascii="Book Antiqua" w:hAnsi="Book Antiqua"/>
          <w:sz w:val="22"/>
          <w:szCs w:val="22"/>
          <w:lang w:val="sq-AL"/>
        </w:rPr>
      </w:pPr>
      <w:r>
        <w:rPr>
          <w:rFonts w:ascii="Book Antiqua" w:hAnsi="Book Antiqua"/>
          <w:sz w:val="22"/>
          <w:szCs w:val="22"/>
          <w:lang w:val="sq-AL"/>
        </w:rPr>
        <w:t>AACK falënderon të gjithë palët e interesit të cilët kanë shprehur interesimin e tyre lidhur me çështje të cilat rregullohen me këtë rregullore./</w:t>
      </w:r>
    </w:p>
    <w:p w:rsidR="00E14869" w:rsidRPr="00166313" w:rsidRDefault="00E14869" w:rsidP="00664C95">
      <w:pPr>
        <w:tabs>
          <w:tab w:val="left" w:pos="4035"/>
        </w:tabs>
        <w:rPr>
          <w:rFonts w:ascii="Book Antiqua" w:hAnsi="Book Antiqua"/>
          <w:sz w:val="22"/>
          <w:szCs w:val="22"/>
          <w:lang w:val="sq-AL"/>
        </w:rPr>
      </w:pPr>
    </w:p>
    <w:p w:rsidR="00E14869" w:rsidRPr="00166313" w:rsidRDefault="00E14869" w:rsidP="00664C95">
      <w:pPr>
        <w:tabs>
          <w:tab w:val="left" w:pos="4035"/>
        </w:tabs>
        <w:rPr>
          <w:rFonts w:ascii="Book Antiqua" w:hAnsi="Book Antiqua"/>
          <w:sz w:val="22"/>
          <w:szCs w:val="22"/>
          <w:lang w:val="sq-AL"/>
        </w:rPr>
      </w:pPr>
    </w:p>
    <w:p w:rsidR="008510FE" w:rsidRPr="00166313" w:rsidRDefault="00E14869" w:rsidP="00664C95">
      <w:pPr>
        <w:tabs>
          <w:tab w:val="left" w:pos="4035"/>
        </w:tabs>
        <w:rPr>
          <w:rFonts w:ascii="Book Antiqua" w:hAnsi="Book Antiqua"/>
          <w:b/>
          <w:sz w:val="22"/>
          <w:szCs w:val="22"/>
          <w:lang w:val="sq-AL"/>
        </w:rPr>
      </w:pPr>
      <w:r w:rsidRPr="00166313">
        <w:rPr>
          <w:rFonts w:ascii="Book Antiqua" w:hAnsi="Book Antiqua"/>
          <w:b/>
          <w:sz w:val="22"/>
          <w:szCs w:val="22"/>
          <w:lang w:val="sq-AL"/>
        </w:rPr>
        <w:t xml:space="preserve">Raporti është </w:t>
      </w:r>
      <w:r w:rsidR="000D70A4" w:rsidRPr="00166313">
        <w:rPr>
          <w:rFonts w:ascii="Book Antiqua" w:hAnsi="Book Antiqua"/>
          <w:b/>
          <w:sz w:val="22"/>
          <w:szCs w:val="22"/>
          <w:lang w:val="sq-AL"/>
        </w:rPr>
        <w:t>hartuar</w:t>
      </w:r>
      <w:r w:rsidRPr="00166313">
        <w:rPr>
          <w:rFonts w:ascii="Book Antiqua" w:hAnsi="Book Antiqua"/>
          <w:b/>
          <w:sz w:val="22"/>
          <w:szCs w:val="22"/>
          <w:lang w:val="sq-AL"/>
        </w:rPr>
        <w:t xml:space="preserve"> nga</w:t>
      </w:r>
      <w:r w:rsidR="008510FE" w:rsidRPr="00166313">
        <w:rPr>
          <w:rFonts w:ascii="Book Antiqua" w:hAnsi="Book Antiqua"/>
          <w:b/>
          <w:sz w:val="22"/>
          <w:szCs w:val="22"/>
          <w:lang w:val="sq-AL"/>
        </w:rPr>
        <w:t>:</w:t>
      </w:r>
    </w:p>
    <w:p w:rsidR="008510FE" w:rsidRPr="00166313" w:rsidRDefault="008510FE" w:rsidP="00664C95">
      <w:pPr>
        <w:tabs>
          <w:tab w:val="left" w:pos="4035"/>
        </w:tabs>
        <w:rPr>
          <w:rFonts w:ascii="Book Antiqua" w:hAnsi="Book Antiqua"/>
          <w:sz w:val="22"/>
          <w:szCs w:val="22"/>
          <w:lang w:val="sq-AL"/>
        </w:rPr>
      </w:pPr>
    </w:p>
    <w:p w:rsidR="00646FAB" w:rsidRDefault="00646FAB" w:rsidP="00E33131">
      <w:pPr>
        <w:tabs>
          <w:tab w:val="left" w:pos="4035"/>
        </w:tabs>
        <w:rPr>
          <w:rFonts w:ascii="Book Antiqua" w:hAnsi="Book Antiqua"/>
          <w:sz w:val="22"/>
          <w:szCs w:val="22"/>
          <w:lang w:val="sq-AL"/>
        </w:rPr>
      </w:pPr>
    </w:p>
    <w:p w:rsidR="00646FAB" w:rsidRPr="00646FAB" w:rsidRDefault="00646FAB" w:rsidP="00646FAB">
      <w:pPr>
        <w:tabs>
          <w:tab w:val="left" w:pos="4035"/>
        </w:tabs>
        <w:rPr>
          <w:rFonts w:ascii="Book Antiqua" w:hAnsi="Book Antiqua"/>
          <w:sz w:val="22"/>
          <w:szCs w:val="22"/>
          <w:lang w:val="sq-AL"/>
        </w:rPr>
      </w:pPr>
      <w:r w:rsidRPr="00646FAB">
        <w:rPr>
          <w:rFonts w:ascii="Book Antiqua" w:hAnsi="Book Antiqua"/>
          <w:sz w:val="22"/>
          <w:szCs w:val="22"/>
          <w:lang w:val="sq-AL"/>
        </w:rPr>
        <w:t>Zyra për Çështje Juridike dhe Rregullatore</w:t>
      </w:r>
    </w:p>
    <w:p w:rsidR="00CD65B2" w:rsidRPr="00166313" w:rsidRDefault="00CD65B2" w:rsidP="00CD65B2">
      <w:pPr>
        <w:tabs>
          <w:tab w:val="left" w:pos="4035"/>
        </w:tabs>
        <w:rPr>
          <w:rFonts w:ascii="Book Antiqua" w:hAnsi="Book Antiqua"/>
          <w:sz w:val="22"/>
          <w:szCs w:val="22"/>
          <w:lang w:val="sq-AL"/>
        </w:rPr>
      </w:pPr>
      <w:r w:rsidRPr="00166313">
        <w:rPr>
          <w:rFonts w:ascii="Book Antiqua" w:hAnsi="Book Antiqua"/>
          <w:sz w:val="22"/>
          <w:szCs w:val="22"/>
          <w:lang w:val="sq-AL"/>
        </w:rPr>
        <w:t xml:space="preserve">Departamenti </w:t>
      </w:r>
      <w:r>
        <w:rPr>
          <w:rFonts w:ascii="Book Antiqua" w:hAnsi="Book Antiqua"/>
          <w:sz w:val="22"/>
          <w:szCs w:val="22"/>
          <w:lang w:val="sq-AL"/>
        </w:rPr>
        <w:t>i Aerodromeve</w:t>
      </w:r>
    </w:p>
    <w:p w:rsidR="00E33131" w:rsidRDefault="00B8409F" w:rsidP="00E33131">
      <w:pPr>
        <w:tabs>
          <w:tab w:val="left" w:pos="4035"/>
        </w:tabs>
        <w:rPr>
          <w:rFonts w:ascii="Book Antiqua" w:hAnsi="Book Antiqua"/>
          <w:sz w:val="22"/>
          <w:szCs w:val="22"/>
          <w:lang w:val="sq-AL"/>
        </w:rPr>
      </w:pPr>
      <w:r w:rsidRPr="00166313">
        <w:rPr>
          <w:rFonts w:ascii="Book Antiqua" w:hAnsi="Book Antiqua"/>
          <w:sz w:val="22"/>
          <w:szCs w:val="22"/>
          <w:lang w:val="sq-AL"/>
        </w:rPr>
        <w:t>Departamenti i Siguris</w:t>
      </w:r>
      <w:r w:rsidR="00B810D5" w:rsidRPr="00166313">
        <w:rPr>
          <w:rFonts w:ascii="Book Antiqua" w:hAnsi="Book Antiqua"/>
          <w:sz w:val="22"/>
          <w:szCs w:val="22"/>
          <w:lang w:val="sq-AL"/>
        </w:rPr>
        <w:t>ë</w:t>
      </w:r>
      <w:r w:rsidRPr="00166313">
        <w:rPr>
          <w:rFonts w:ascii="Book Antiqua" w:hAnsi="Book Antiqua"/>
          <w:sz w:val="22"/>
          <w:szCs w:val="22"/>
          <w:lang w:val="sq-AL"/>
        </w:rPr>
        <w:t xml:space="preserve"> s</w:t>
      </w:r>
      <w:r w:rsidR="00B810D5" w:rsidRPr="00166313">
        <w:rPr>
          <w:rFonts w:ascii="Book Antiqua" w:hAnsi="Book Antiqua"/>
          <w:sz w:val="22"/>
          <w:szCs w:val="22"/>
          <w:lang w:val="sq-AL"/>
        </w:rPr>
        <w:t>ë</w:t>
      </w:r>
      <w:r w:rsidRPr="00166313">
        <w:rPr>
          <w:rFonts w:ascii="Book Antiqua" w:hAnsi="Book Antiqua"/>
          <w:sz w:val="22"/>
          <w:szCs w:val="22"/>
          <w:lang w:val="sq-AL"/>
        </w:rPr>
        <w:t xml:space="preserve"> Fluturimeve</w:t>
      </w:r>
    </w:p>
    <w:sectPr w:rsidR="00E33131" w:rsidSect="00541A60">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96" w:rsidRDefault="00C81296" w:rsidP="00733CDE">
      <w:r>
        <w:separator/>
      </w:r>
    </w:p>
  </w:endnote>
  <w:endnote w:type="continuationSeparator" w:id="0">
    <w:p w:rsidR="00C81296" w:rsidRDefault="00C81296" w:rsidP="0073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16"/>
        <w:szCs w:val="16"/>
      </w:rPr>
      <w:id w:val="783847168"/>
      <w:docPartObj>
        <w:docPartGallery w:val="Page Numbers (Bottom of Page)"/>
        <w:docPartUnique/>
      </w:docPartObj>
    </w:sdtPr>
    <w:sdtEndPr/>
    <w:sdtContent>
      <w:sdt>
        <w:sdtPr>
          <w:rPr>
            <w:rFonts w:ascii="Book Antiqua" w:hAnsi="Book Antiqua"/>
            <w:sz w:val="16"/>
            <w:szCs w:val="16"/>
          </w:rPr>
          <w:id w:val="1182004616"/>
          <w:docPartObj>
            <w:docPartGallery w:val="Page Numbers (Top of Page)"/>
            <w:docPartUnique/>
          </w:docPartObj>
        </w:sdtPr>
        <w:sdtEndPr/>
        <w:sdtContent>
          <w:p w:rsidR="00B810D5" w:rsidRPr="00E14869" w:rsidRDefault="00B810D5">
            <w:pPr>
              <w:pStyle w:val="Footer"/>
              <w:jc w:val="right"/>
              <w:rPr>
                <w:rFonts w:ascii="Book Antiqua" w:hAnsi="Book Antiqua"/>
                <w:sz w:val="16"/>
                <w:szCs w:val="16"/>
              </w:rPr>
            </w:pPr>
            <w:r w:rsidRPr="00E14869">
              <w:rPr>
                <w:rFonts w:ascii="Book Antiqua" w:hAnsi="Book Antiqua"/>
                <w:sz w:val="16"/>
                <w:szCs w:val="16"/>
              </w:rPr>
              <w:t xml:space="preserve">Faqe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PAGE </w:instrText>
            </w:r>
            <w:r w:rsidRPr="00E14869">
              <w:rPr>
                <w:rFonts w:ascii="Book Antiqua" w:hAnsi="Book Antiqua"/>
                <w:b/>
                <w:bCs/>
                <w:sz w:val="16"/>
                <w:szCs w:val="16"/>
              </w:rPr>
              <w:fldChar w:fldCharType="separate"/>
            </w:r>
            <w:r w:rsidR="00B52353">
              <w:rPr>
                <w:rFonts w:ascii="Book Antiqua" w:hAnsi="Book Antiqua"/>
                <w:b/>
                <w:bCs/>
                <w:noProof/>
                <w:sz w:val="16"/>
                <w:szCs w:val="16"/>
              </w:rPr>
              <w:t>5</w:t>
            </w:r>
            <w:r w:rsidRPr="00E14869">
              <w:rPr>
                <w:rFonts w:ascii="Book Antiqua" w:hAnsi="Book Antiqua"/>
                <w:b/>
                <w:bCs/>
                <w:sz w:val="16"/>
                <w:szCs w:val="16"/>
              </w:rPr>
              <w:fldChar w:fldCharType="end"/>
            </w:r>
            <w:r w:rsidRPr="00E14869">
              <w:rPr>
                <w:rFonts w:ascii="Book Antiqua" w:hAnsi="Book Antiqua"/>
                <w:sz w:val="16"/>
                <w:szCs w:val="16"/>
              </w:rPr>
              <w:t xml:space="preserve"> nga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NUMPAGES  </w:instrText>
            </w:r>
            <w:r w:rsidRPr="00E14869">
              <w:rPr>
                <w:rFonts w:ascii="Book Antiqua" w:hAnsi="Book Antiqua"/>
                <w:b/>
                <w:bCs/>
                <w:sz w:val="16"/>
                <w:szCs w:val="16"/>
              </w:rPr>
              <w:fldChar w:fldCharType="separate"/>
            </w:r>
            <w:r w:rsidR="00B52353">
              <w:rPr>
                <w:rFonts w:ascii="Book Antiqua" w:hAnsi="Book Antiqua"/>
                <w:b/>
                <w:bCs/>
                <w:noProof/>
                <w:sz w:val="16"/>
                <w:szCs w:val="16"/>
              </w:rPr>
              <w:t>5</w:t>
            </w:r>
            <w:r w:rsidRPr="00E14869">
              <w:rPr>
                <w:rFonts w:ascii="Book Antiqua" w:hAnsi="Book Antiqua"/>
                <w:b/>
                <w:bCs/>
                <w:sz w:val="16"/>
                <w:szCs w:val="16"/>
              </w:rPr>
              <w:fldChar w:fldCharType="end"/>
            </w:r>
          </w:p>
        </w:sdtContent>
      </w:sdt>
    </w:sdtContent>
  </w:sdt>
  <w:p w:rsidR="00B810D5" w:rsidRDefault="00B810D5" w:rsidP="00733CDE">
    <w:pPr>
      <w:pStyle w:val="Footer"/>
      <w:ind w:left="-57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96" w:rsidRDefault="00C81296" w:rsidP="00733CDE">
      <w:r>
        <w:separator/>
      </w:r>
    </w:p>
  </w:footnote>
  <w:footnote w:type="continuationSeparator" w:id="0">
    <w:p w:rsidR="00C81296" w:rsidRDefault="00C81296" w:rsidP="00733CDE">
      <w:r>
        <w:continuationSeparator/>
      </w:r>
    </w:p>
  </w:footnote>
  <w:footnote w:id="1">
    <w:p w:rsidR="00E47956" w:rsidRDefault="00E47956">
      <w:pPr>
        <w:pStyle w:val="FootnoteText"/>
      </w:pPr>
      <w:r>
        <w:rPr>
          <w:rStyle w:val="FootnoteReference"/>
        </w:rPr>
        <w:footnoteRef/>
      </w:r>
      <w:r>
        <w:t xml:space="preserve"> Me kwrkesw tw palwve tw interesit konsultimi publik per rregulloren per aerodromet e regjistruara ka zgjatur deri mw 15 shtator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D5" w:rsidRDefault="00B810D5" w:rsidP="00733CDE">
    <w:pPr>
      <w:pStyle w:val="Header"/>
      <w:ind w:left="-1008"/>
    </w:pPr>
    <w:r>
      <w:rPr>
        <w:noProof/>
      </w:rPr>
      <w:drawing>
        <wp:inline distT="0" distB="0" distL="0" distR="0" wp14:anchorId="2C133F5C" wp14:editId="79728582">
          <wp:extent cx="4290955" cy="752475"/>
          <wp:effectExtent l="19050" t="0" r="0" b="0"/>
          <wp:docPr id="3"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p w:rsidR="00B810D5" w:rsidRDefault="00B81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D5" w:rsidRDefault="00B810D5" w:rsidP="00541A60">
    <w:pPr>
      <w:pStyle w:val="Header"/>
      <w:ind w:left="-990"/>
    </w:pPr>
    <w:r>
      <w:rPr>
        <w:noProof/>
      </w:rPr>
      <w:drawing>
        <wp:inline distT="0" distB="0" distL="0" distR="0" wp14:anchorId="3978CB4E" wp14:editId="6A1C4B92">
          <wp:extent cx="4290955" cy="752475"/>
          <wp:effectExtent l="1905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8AA"/>
    <w:multiLevelType w:val="hybridMultilevel"/>
    <w:tmpl w:val="68E8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1934"/>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B5A00"/>
    <w:multiLevelType w:val="hybridMultilevel"/>
    <w:tmpl w:val="349CA262"/>
    <w:lvl w:ilvl="0" w:tplc="E34439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E05C3F"/>
    <w:multiLevelType w:val="hybridMultilevel"/>
    <w:tmpl w:val="331888AC"/>
    <w:lvl w:ilvl="0" w:tplc="5B5EB6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965"/>
    <w:multiLevelType w:val="hybridMultilevel"/>
    <w:tmpl w:val="A698B36A"/>
    <w:lvl w:ilvl="0" w:tplc="683EA9D8">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E43D2"/>
    <w:multiLevelType w:val="hybridMultilevel"/>
    <w:tmpl w:val="48E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C5FBA"/>
    <w:multiLevelType w:val="hybridMultilevel"/>
    <w:tmpl w:val="CA5E19AC"/>
    <w:lvl w:ilvl="0" w:tplc="DD8256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0B387B"/>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601E"/>
    <w:multiLevelType w:val="hybridMultilevel"/>
    <w:tmpl w:val="2D6CF226"/>
    <w:lvl w:ilvl="0" w:tplc="2E1C50D4">
      <w:numFmt w:val="bullet"/>
      <w:lvlText w:val="-"/>
      <w:lvlJc w:val="left"/>
      <w:pPr>
        <w:ind w:left="1800" w:hanging="360"/>
      </w:pPr>
      <w:rPr>
        <w:rFonts w:ascii="Book Antiqua" w:eastAsia="Calibri" w:hAnsi="Book Antiqu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238B4E90"/>
    <w:multiLevelType w:val="hybridMultilevel"/>
    <w:tmpl w:val="48E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B03D5"/>
    <w:multiLevelType w:val="hybridMultilevel"/>
    <w:tmpl w:val="7F045604"/>
    <w:lvl w:ilvl="0" w:tplc="579EB4FA">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2211"/>
    <w:multiLevelType w:val="hybridMultilevel"/>
    <w:tmpl w:val="5A18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51615"/>
    <w:multiLevelType w:val="hybridMultilevel"/>
    <w:tmpl w:val="8B4C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29BA"/>
    <w:multiLevelType w:val="hybridMultilevel"/>
    <w:tmpl w:val="068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51086"/>
    <w:multiLevelType w:val="hybridMultilevel"/>
    <w:tmpl w:val="4D2E4B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4F5C"/>
    <w:multiLevelType w:val="hybridMultilevel"/>
    <w:tmpl w:val="842E66D2"/>
    <w:lvl w:ilvl="0" w:tplc="F8383C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E25A0"/>
    <w:multiLevelType w:val="hybridMultilevel"/>
    <w:tmpl w:val="65945F48"/>
    <w:lvl w:ilvl="0" w:tplc="F86AA6C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326DD"/>
    <w:multiLevelType w:val="hybridMultilevel"/>
    <w:tmpl w:val="C7E64CEA"/>
    <w:lvl w:ilvl="0" w:tplc="7870D1D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C7148"/>
    <w:multiLevelType w:val="hybridMultilevel"/>
    <w:tmpl w:val="DFA2F2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8209B"/>
    <w:multiLevelType w:val="hybridMultilevel"/>
    <w:tmpl w:val="2800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F5FC4"/>
    <w:multiLevelType w:val="hybridMultilevel"/>
    <w:tmpl w:val="6D803318"/>
    <w:lvl w:ilvl="0" w:tplc="7D744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C7B5E85"/>
    <w:multiLevelType w:val="hybridMultilevel"/>
    <w:tmpl w:val="D1A64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63DF8"/>
    <w:multiLevelType w:val="hybridMultilevel"/>
    <w:tmpl w:val="E940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1795B"/>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D6EC9"/>
    <w:multiLevelType w:val="hybridMultilevel"/>
    <w:tmpl w:val="C5BC51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1483B"/>
    <w:multiLevelType w:val="hybridMultilevel"/>
    <w:tmpl w:val="6746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E3F05"/>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B04D2"/>
    <w:multiLevelType w:val="hybridMultilevel"/>
    <w:tmpl w:val="0660F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61705"/>
    <w:multiLevelType w:val="hybridMultilevel"/>
    <w:tmpl w:val="79A29CC2"/>
    <w:lvl w:ilvl="0" w:tplc="C81EDB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95139"/>
    <w:multiLevelType w:val="hybridMultilevel"/>
    <w:tmpl w:val="AC3E672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C5C34"/>
    <w:multiLevelType w:val="hybridMultilevel"/>
    <w:tmpl w:val="62C21C3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10039"/>
    <w:multiLevelType w:val="hybridMultilevel"/>
    <w:tmpl w:val="E940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B6CD9"/>
    <w:multiLevelType w:val="hybridMultilevel"/>
    <w:tmpl w:val="02328CA6"/>
    <w:lvl w:ilvl="0" w:tplc="F126ECD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055FD"/>
    <w:multiLevelType w:val="hybridMultilevel"/>
    <w:tmpl w:val="1446419C"/>
    <w:lvl w:ilvl="0" w:tplc="5492BC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F414DFD"/>
    <w:multiLevelType w:val="hybridMultilevel"/>
    <w:tmpl w:val="70247F2E"/>
    <w:lvl w:ilvl="0" w:tplc="E710E1AA">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E105B"/>
    <w:multiLevelType w:val="hybridMultilevel"/>
    <w:tmpl w:val="2CBA3B7C"/>
    <w:lvl w:ilvl="0" w:tplc="51662A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D6197"/>
    <w:multiLevelType w:val="hybridMultilevel"/>
    <w:tmpl w:val="C48818B2"/>
    <w:lvl w:ilvl="0" w:tplc="E470626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F02CBB"/>
    <w:multiLevelType w:val="hybridMultilevel"/>
    <w:tmpl w:val="3A18151E"/>
    <w:lvl w:ilvl="0" w:tplc="5F0CB2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BC1900"/>
    <w:multiLevelType w:val="hybridMultilevel"/>
    <w:tmpl w:val="96CA68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5"/>
  </w:num>
  <w:num w:numId="2">
    <w:abstractNumId w:val="37"/>
  </w:num>
  <w:num w:numId="3">
    <w:abstractNumId w:val="2"/>
  </w:num>
  <w:num w:numId="4">
    <w:abstractNumId w:val="0"/>
  </w:num>
  <w:num w:numId="5">
    <w:abstractNumId w:val="11"/>
  </w:num>
  <w:num w:numId="6">
    <w:abstractNumId w:val="29"/>
  </w:num>
  <w:num w:numId="7">
    <w:abstractNumId w:val="14"/>
  </w:num>
  <w:num w:numId="8">
    <w:abstractNumId w:val="24"/>
  </w:num>
  <w:num w:numId="9">
    <w:abstractNumId w:val="10"/>
  </w:num>
  <w:num w:numId="10">
    <w:abstractNumId w:val="18"/>
  </w:num>
  <w:num w:numId="11">
    <w:abstractNumId w:val="30"/>
  </w:num>
  <w:num w:numId="12">
    <w:abstractNumId w:val="28"/>
  </w:num>
  <w:num w:numId="13">
    <w:abstractNumId w:val="15"/>
  </w:num>
  <w:num w:numId="14">
    <w:abstractNumId w:val="27"/>
  </w:num>
  <w:num w:numId="15">
    <w:abstractNumId w:val="13"/>
  </w:num>
  <w:num w:numId="16">
    <w:abstractNumId w:val="12"/>
  </w:num>
  <w:num w:numId="17">
    <w:abstractNumId w:val="26"/>
  </w:num>
  <w:num w:numId="18">
    <w:abstractNumId w:val="35"/>
  </w:num>
  <w:num w:numId="19">
    <w:abstractNumId w:val="23"/>
  </w:num>
  <w:num w:numId="20">
    <w:abstractNumId w:val="17"/>
  </w:num>
  <w:num w:numId="21">
    <w:abstractNumId w:val="16"/>
  </w:num>
  <w:num w:numId="22">
    <w:abstractNumId w:val="3"/>
  </w:num>
  <w:num w:numId="23">
    <w:abstractNumId w:val="32"/>
  </w:num>
  <w:num w:numId="24">
    <w:abstractNumId w:val="4"/>
  </w:num>
  <w:num w:numId="25">
    <w:abstractNumId w:val="7"/>
  </w:num>
  <w:num w:numId="26">
    <w:abstractNumId w:val="1"/>
  </w:num>
  <w:num w:numId="27">
    <w:abstractNumId w:val="34"/>
  </w:num>
  <w:num w:numId="28">
    <w:abstractNumId w:val="6"/>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 w:numId="33">
    <w:abstractNumId w:val="38"/>
  </w:num>
  <w:num w:numId="34">
    <w:abstractNumId w:val="33"/>
  </w:num>
  <w:num w:numId="35">
    <w:abstractNumId w:val="8"/>
  </w:num>
  <w:num w:numId="36">
    <w:abstractNumId w:val="9"/>
  </w:num>
  <w:num w:numId="37">
    <w:abstractNumId w:val="22"/>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DE"/>
    <w:rsid w:val="000474F1"/>
    <w:rsid w:val="000609B5"/>
    <w:rsid w:val="00063D82"/>
    <w:rsid w:val="0006451C"/>
    <w:rsid w:val="00080EF3"/>
    <w:rsid w:val="00081C21"/>
    <w:rsid w:val="000A204D"/>
    <w:rsid w:val="000B5B78"/>
    <w:rsid w:val="000B5C14"/>
    <w:rsid w:val="000C387C"/>
    <w:rsid w:val="000C40B0"/>
    <w:rsid w:val="000D62FC"/>
    <w:rsid w:val="000D70A4"/>
    <w:rsid w:val="000E0843"/>
    <w:rsid w:val="0010444E"/>
    <w:rsid w:val="0013332A"/>
    <w:rsid w:val="00135209"/>
    <w:rsid w:val="001465ED"/>
    <w:rsid w:val="001479F5"/>
    <w:rsid w:val="00150000"/>
    <w:rsid w:val="00155E7C"/>
    <w:rsid w:val="00156782"/>
    <w:rsid w:val="00162368"/>
    <w:rsid w:val="001625AB"/>
    <w:rsid w:val="00165DAC"/>
    <w:rsid w:val="00166313"/>
    <w:rsid w:val="00166DF1"/>
    <w:rsid w:val="00171419"/>
    <w:rsid w:val="00175D66"/>
    <w:rsid w:val="00194A7B"/>
    <w:rsid w:val="00197E3A"/>
    <w:rsid w:val="001A35B0"/>
    <w:rsid w:val="001B0BA3"/>
    <w:rsid w:val="001C3909"/>
    <w:rsid w:val="001C39DE"/>
    <w:rsid w:val="001C6F08"/>
    <w:rsid w:val="001D693E"/>
    <w:rsid w:val="00201094"/>
    <w:rsid w:val="00203E57"/>
    <w:rsid w:val="00222C66"/>
    <w:rsid w:val="00242140"/>
    <w:rsid w:val="00253BAC"/>
    <w:rsid w:val="002556D9"/>
    <w:rsid w:val="00265151"/>
    <w:rsid w:val="0026693C"/>
    <w:rsid w:val="00272AB2"/>
    <w:rsid w:val="00272E93"/>
    <w:rsid w:val="00276BCA"/>
    <w:rsid w:val="00287A91"/>
    <w:rsid w:val="00293412"/>
    <w:rsid w:val="00294921"/>
    <w:rsid w:val="002B1922"/>
    <w:rsid w:val="002F2E1E"/>
    <w:rsid w:val="00300E91"/>
    <w:rsid w:val="00305870"/>
    <w:rsid w:val="00311072"/>
    <w:rsid w:val="00312E3A"/>
    <w:rsid w:val="00321D41"/>
    <w:rsid w:val="0032334F"/>
    <w:rsid w:val="00326F9D"/>
    <w:rsid w:val="0034021B"/>
    <w:rsid w:val="003450CE"/>
    <w:rsid w:val="0036180D"/>
    <w:rsid w:val="003722C8"/>
    <w:rsid w:val="00380FB9"/>
    <w:rsid w:val="003B4553"/>
    <w:rsid w:val="003C5E6C"/>
    <w:rsid w:val="003D0E91"/>
    <w:rsid w:val="003E6399"/>
    <w:rsid w:val="003E7369"/>
    <w:rsid w:val="0041064F"/>
    <w:rsid w:val="00413E14"/>
    <w:rsid w:val="00431D81"/>
    <w:rsid w:val="004573A2"/>
    <w:rsid w:val="00462C67"/>
    <w:rsid w:val="00492266"/>
    <w:rsid w:val="004A04C5"/>
    <w:rsid w:val="004A3FA9"/>
    <w:rsid w:val="004A6137"/>
    <w:rsid w:val="004B2A6F"/>
    <w:rsid w:val="004C2D99"/>
    <w:rsid w:val="004C59BA"/>
    <w:rsid w:val="004C76FA"/>
    <w:rsid w:val="004D3430"/>
    <w:rsid w:val="004E150C"/>
    <w:rsid w:val="00515FC9"/>
    <w:rsid w:val="00541A60"/>
    <w:rsid w:val="00553435"/>
    <w:rsid w:val="005640F2"/>
    <w:rsid w:val="005673E0"/>
    <w:rsid w:val="00574D43"/>
    <w:rsid w:val="005863A0"/>
    <w:rsid w:val="0058663B"/>
    <w:rsid w:val="005A01FA"/>
    <w:rsid w:val="005A12BF"/>
    <w:rsid w:val="005B0075"/>
    <w:rsid w:val="005D0C72"/>
    <w:rsid w:val="005E567A"/>
    <w:rsid w:val="005F551F"/>
    <w:rsid w:val="005F5A8C"/>
    <w:rsid w:val="006141E7"/>
    <w:rsid w:val="00614A8A"/>
    <w:rsid w:val="006152A8"/>
    <w:rsid w:val="00622CB7"/>
    <w:rsid w:val="00632783"/>
    <w:rsid w:val="00635722"/>
    <w:rsid w:val="00641A1A"/>
    <w:rsid w:val="00646FAB"/>
    <w:rsid w:val="00647D56"/>
    <w:rsid w:val="00653DDE"/>
    <w:rsid w:val="00656FA6"/>
    <w:rsid w:val="00664C95"/>
    <w:rsid w:val="006801E4"/>
    <w:rsid w:val="00680F9F"/>
    <w:rsid w:val="0068539B"/>
    <w:rsid w:val="00692619"/>
    <w:rsid w:val="00696723"/>
    <w:rsid w:val="006B2772"/>
    <w:rsid w:val="006B2DFA"/>
    <w:rsid w:val="006B6F1C"/>
    <w:rsid w:val="006C41DC"/>
    <w:rsid w:val="006D3A83"/>
    <w:rsid w:val="00701DBD"/>
    <w:rsid w:val="0070319B"/>
    <w:rsid w:val="007074C2"/>
    <w:rsid w:val="007331C3"/>
    <w:rsid w:val="00733CDE"/>
    <w:rsid w:val="00751F23"/>
    <w:rsid w:val="00762473"/>
    <w:rsid w:val="00763AF1"/>
    <w:rsid w:val="00765518"/>
    <w:rsid w:val="00771C79"/>
    <w:rsid w:val="007873CA"/>
    <w:rsid w:val="00790426"/>
    <w:rsid w:val="007930E5"/>
    <w:rsid w:val="007A3102"/>
    <w:rsid w:val="00800B6F"/>
    <w:rsid w:val="00810568"/>
    <w:rsid w:val="00824F9B"/>
    <w:rsid w:val="0083273E"/>
    <w:rsid w:val="00841399"/>
    <w:rsid w:val="008510FE"/>
    <w:rsid w:val="00855C72"/>
    <w:rsid w:val="008637C2"/>
    <w:rsid w:val="00887057"/>
    <w:rsid w:val="008A1FFA"/>
    <w:rsid w:val="008A3B57"/>
    <w:rsid w:val="008A7D40"/>
    <w:rsid w:val="008B4480"/>
    <w:rsid w:val="008D25C1"/>
    <w:rsid w:val="009021B5"/>
    <w:rsid w:val="009422AE"/>
    <w:rsid w:val="0096552D"/>
    <w:rsid w:val="00966F77"/>
    <w:rsid w:val="009721CD"/>
    <w:rsid w:val="009737BB"/>
    <w:rsid w:val="0099535E"/>
    <w:rsid w:val="009A1C85"/>
    <w:rsid w:val="009B4F2C"/>
    <w:rsid w:val="009B6758"/>
    <w:rsid w:val="009C26F9"/>
    <w:rsid w:val="00A31228"/>
    <w:rsid w:val="00A32310"/>
    <w:rsid w:val="00A55F0A"/>
    <w:rsid w:val="00A5718D"/>
    <w:rsid w:val="00A64FE9"/>
    <w:rsid w:val="00A70F51"/>
    <w:rsid w:val="00A72EEF"/>
    <w:rsid w:val="00AA09E8"/>
    <w:rsid w:val="00AA3466"/>
    <w:rsid w:val="00AC3B5A"/>
    <w:rsid w:val="00AC72C1"/>
    <w:rsid w:val="00B166DE"/>
    <w:rsid w:val="00B365B8"/>
    <w:rsid w:val="00B40E72"/>
    <w:rsid w:val="00B52353"/>
    <w:rsid w:val="00B570C4"/>
    <w:rsid w:val="00B62106"/>
    <w:rsid w:val="00B6760F"/>
    <w:rsid w:val="00B810D5"/>
    <w:rsid w:val="00B8409F"/>
    <w:rsid w:val="00B85E67"/>
    <w:rsid w:val="00BB006D"/>
    <w:rsid w:val="00BC09BD"/>
    <w:rsid w:val="00BC1F7A"/>
    <w:rsid w:val="00BC3D51"/>
    <w:rsid w:val="00BC4D30"/>
    <w:rsid w:val="00BC6977"/>
    <w:rsid w:val="00BD2C21"/>
    <w:rsid w:val="00BD3FB1"/>
    <w:rsid w:val="00BD6A4C"/>
    <w:rsid w:val="00BD7E7D"/>
    <w:rsid w:val="00BE5918"/>
    <w:rsid w:val="00BF1175"/>
    <w:rsid w:val="00C065EB"/>
    <w:rsid w:val="00C06F22"/>
    <w:rsid w:val="00C23C93"/>
    <w:rsid w:val="00C42A9B"/>
    <w:rsid w:val="00C4545A"/>
    <w:rsid w:val="00C617A1"/>
    <w:rsid w:val="00C62B93"/>
    <w:rsid w:val="00C74A50"/>
    <w:rsid w:val="00C81296"/>
    <w:rsid w:val="00C920E3"/>
    <w:rsid w:val="00CA3D59"/>
    <w:rsid w:val="00CA3ED5"/>
    <w:rsid w:val="00CB11A7"/>
    <w:rsid w:val="00CC01C4"/>
    <w:rsid w:val="00CD2BB6"/>
    <w:rsid w:val="00CD308B"/>
    <w:rsid w:val="00CD65B2"/>
    <w:rsid w:val="00CF11D5"/>
    <w:rsid w:val="00D23395"/>
    <w:rsid w:val="00D244E2"/>
    <w:rsid w:val="00D302A9"/>
    <w:rsid w:val="00D32BA2"/>
    <w:rsid w:val="00D63617"/>
    <w:rsid w:val="00D64136"/>
    <w:rsid w:val="00D8371F"/>
    <w:rsid w:val="00DA4F4E"/>
    <w:rsid w:val="00DC66BC"/>
    <w:rsid w:val="00DD0121"/>
    <w:rsid w:val="00DD29D3"/>
    <w:rsid w:val="00DE2237"/>
    <w:rsid w:val="00E04C24"/>
    <w:rsid w:val="00E06B1E"/>
    <w:rsid w:val="00E13E76"/>
    <w:rsid w:val="00E14869"/>
    <w:rsid w:val="00E228D3"/>
    <w:rsid w:val="00E33131"/>
    <w:rsid w:val="00E47956"/>
    <w:rsid w:val="00E6135D"/>
    <w:rsid w:val="00E67589"/>
    <w:rsid w:val="00E74354"/>
    <w:rsid w:val="00E8237B"/>
    <w:rsid w:val="00E840BB"/>
    <w:rsid w:val="00E91D67"/>
    <w:rsid w:val="00EA4A95"/>
    <w:rsid w:val="00EA5816"/>
    <w:rsid w:val="00EB016B"/>
    <w:rsid w:val="00EB57C5"/>
    <w:rsid w:val="00EC4987"/>
    <w:rsid w:val="00EC6B80"/>
    <w:rsid w:val="00ED19AC"/>
    <w:rsid w:val="00ED4BDB"/>
    <w:rsid w:val="00EF05FA"/>
    <w:rsid w:val="00EF225D"/>
    <w:rsid w:val="00F03D42"/>
    <w:rsid w:val="00F04F8F"/>
    <w:rsid w:val="00F050B2"/>
    <w:rsid w:val="00F1306C"/>
    <w:rsid w:val="00F24D19"/>
    <w:rsid w:val="00F327BE"/>
    <w:rsid w:val="00F33C0C"/>
    <w:rsid w:val="00F46921"/>
    <w:rsid w:val="00F5314A"/>
    <w:rsid w:val="00F56960"/>
    <w:rsid w:val="00F62793"/>
    <w:rsid w:val="00F700D3"/>
    <w:rsid w:val="00F757C2"/>
    <w:rsid w:val="00F8098F"/>
    <w:rsid w:val="00F86F6D"/>
    <w:rsid w:val="00F97194"/>
    <w:rsid w:val="00FA17FD"/>
    <w:rsid w:val="00FB10A6"/>
    <w:rsid w:val="00FC4547"/>
    <w:rsid w:val="00FD57FD"/>
    <w:rsid w:val="00FD7DB7"/>
    <w:rsid w:val="00FE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139F3-E54F-438D-A4CB-DB7F6F77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E2"/>
    <w:pPr>
      <w:spacing w:after="0" w:line="240" w:lineRule="auto"/>
    </w:pPr>
    <w:rPr>
      <w:rFonts w:ascii="Times New Roman" w:eastAsia="Times New Roman" w:hAnsi="Times New Roman" w:cs="Times New Roman"/>
      <w:sz w:val="24"/>
      <w:szCs w:val="24"/>
      <w:lang w:val="en-GB"/>
    </w:rPr>
  </w:style>
  <w:style w:type="paragraph" w:styleId="Heading2">
    <w:name w:val="heading 2"/>
    <w:next w:val="Normal"/>
    <w:link w:val="Heading2Char"/>
    <w:qFormat/>
    <w:rsid w:val="00AC3B5A"/>
    <w:pPr>
      <w:tabs>
        <w:tab w:val="num" w:pos="792"/>
      </w:tabs>
      <w:spacing w:after="220" w:line="240" w:lineRule="auto"/>
      <w:ind w:left="792" w:hanging="792"/>
      <w:outlineLvl w:val="1"/>
    </w:pPr>
    <w:rPr>
      <w:rFonts w:ascii="Arial Narrow" w:eastAsia="Times New Roman" w:hAnsi="Arial Narrow" w:cs="Arial"/>
      <w:b/>
      <w:bCs/>
      <w:i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33CDE"/>
  </w:style>
  <w:style w:type="paragraph" w:styleId="Footer">
    <w:name w:val="footer"/>
    <w:basedOn w:val="Normal"/>
    <w:link w:val="Foot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33CDE"/>
  </w:style>
  <w:style w:type="paragraph" w:styleId="BalloonText">
    <w:name w:val="Balloon Text"/>
    <w:basedOn w:val="Normal"/>
    <w:link w:val="BalloonTextChar"/>
    <w:uiPriority w:val="99"/>
    <w:semiHidden/>
    <w:unhideWhenUsed/>
    <w:rsid w:val="00733CD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33CDE"/>
    <w:rPr>
      <w:rFonts w:ascii="Tahoma" w:hAnsi="Tahoma" w:cs="Tahoma"/>
      <w:sz w:val="16"/>
      <w:szCs w:val="16"/>
    </w:rPr>
  </w:style>
  <w:style w:type="paragraph" w:styleId="ListParagraph">
    <w:name w:val="List Paragraph"/>
    <w:basedOn w:val="Normal"/>
    <w:uiPriority w:val="34"/>
    <w:qFormat/>
    <w:rsid w:val="00664C95"/>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64C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64C95"/>
    <w:rPr>
      <w:sz w:val="20"/>
      <w:szCs w:val="20"/>
    </w:rPr>
  </w:style>
  <w:style w:type="character" w:styleId="FootnoteReference">
    <w:name w:val="footnote reference"/>
    <w:basedOn w:val="DefaultParagraphFont"/>
    <w:uiPriority w:val="99"/>
    <w:semiHidden/>
    <w:unhideWhenUsed/>
    <w:rsid w:val="00664C95"/>
    <w:rPr>
      <w:vertAlign w:val="superscript"/>
    </w:rPr>
  </w:style>
  <w:style w:type="character" w:styleId="Hyperlink">
    <w:name w:val="Hyperlink"/>
    <w:basedOn w:val="DefaultParagraphFont"/>
    <w:uiPriority w:val="99"/>
    <w:unhideWhenUsed/>
    <w:rsid w:val="00664C95"/>
    <w:rPr>
      <w:color w:val="0000FF"/>
      <w:u w:val="single"/>
    </w:rPr>
  </w:style>
  <w:style w:type="paragraph" w:styleId="NoSpacing">
    <w:name w:val="No Spacing"/>
    <w:link w:val="NoSpacingChar"/>
    <w:qFormat/>
    <w:rsid w:val="001A3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35B0"/>
    <w:rPr>
      <w:rFonts w:eastAsiaTheme="minorEastAsia"/>
      <w:lang w:eastAsia="ja-JP"/>
    </w:rPr>
  </w:style>
  <w:style w:type="character" w:styleId="CommentReference">
    <w:name w:val="annotation reference"/>
    <w:basedOn w:val="DefaultParagraphFont"/>
    <w:semiHidden/>
    <w:unhideWhenUsed/>
    <w:rsid w:val="00E8237B"/>
    <w:rPr>
      <w:sz w:val="16"/>
      <w:szCs w:val="16"/>
    </w:rPr>
  </w:style>
  <w:style w:type="paragraph" w:styleId="CommentText">
    <w:name w:val="annotation text"/>
    <w:basedOn w:val="Normal"/>
    <w:link w:val="CommentTextChar"/>
    <w:semiHidden/>
    <w:unhideWhenUsed/>
    <w:rsid w:val="00E8237B"/>
    <w:rPr>
      <w:sz w:val="20"/>
      <w:szCs w:val="20"/>
    </w:rPr>
  </w:style>
  <w:style w:type="character" w:customStyle="1" w:styleId="CommentTextChar">
    <w:name w:val="Comment Text Char"/>
    <w:basedOn w:val="DefaultParagraphFont"/>
    <w:link w:val="CommentText"/>
    <w:semiHidden/>
    <w:rsid w:val="00E823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237B"/>
    <w:rPr>
      <w:b/>
      <w:bCs/>
    </w:rPr>
  </w:style>
  <w:style w:type="character" w:customStyle="1" w:styleId="CommentSubjectChar">
    <w:name w:val="Comment Subject Char"/>
    <w:basedOn w:val="CommentTextChar"/>
    <w:link w:val="CommentSubject"/>
    <w:uiPriority w:val="99"/>
    <w:semiHidden/>
    <w:rsid w:val="00E823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098F"/>
    <w:pPr>
      <w:spacing w:before="100" w:beforeAutospacing="1" w:after="100" w:afterAutospacing="1"/>
    </w:pPr>
    <w:rPr>
      <w:lang w:val="en-US"/>
    </w:rPr>
  </w:style>
  <w:style w:type="character" w:styleId="Strong">
    <w:name w:val="Strong"/>
    <w:basedOn w:val="DefaultParagraphFont"/>
    <w:uiPriority w:val="22"/>
    <w:qFormat/>
    <w:rsid w:val="00F8098F"/>
    <w:rPr>
      <w:b/>
      <w:bCs/>
    </w:rPr>
  </w:style>
  <w:style w:type="character" w:customStyle="1" w:styleId="apple-converted-space">
    <w:name w:val="apple-converted-space"/>
    <w:basedOn w:val="DefaultParagraphFont"/>
    <w:rsid w:val="00F8098F"/>
  </w:style>
  <w:style w:type="paragraph" w:styleId="Title">
    <w:name w:val="Title"/>
    <w:basedOn w:val="Normal"/>
    <w:link w:val="TitleChar"/>
    <w:uiPriority w:val="99"/>
    <w:qFormat/>
    <w:rsid w:val="00BD7E7D"/>
    <w:pPr>
      <w:jc w:val="center"/>
    </w:pPr>
    <w:rPr>
      <w:rFonts w:ascii="Arial Narrow" w:hAnsi="Arial Narrow"/>
      <w:b/>
      <w:sz w:val="32"/>
      <w:szCs w:val="20"/>
      <w:lang w:val="x-none" w:eastAsia="x-none"/>
    </w:rPr>
  </w:style>
  <w:style w:type="character" w:customStyle="1" w:styleId="TitleChar">
    <w:name w:val="Title Char"/>
    <w:basedOn w:val="DefaultParagraphFont"/>
    <w:link w:val="Title"/>
    <w:uiPriority w:val="99"/>
    <w:rsid w:val="00BD7E7D"/>
    <w:rPr>
      <w:rFonts w:ascii="Arial Narrow" w:eastAsia="Times New Roman" w:hAnsi="Arial Narrow" w:cs="Times New Roman"/>
      <w:b/>
      <w:sz w:val="32"/>
      <w:szCs w:val="20"/>
      <w:lang w:val="x-none" w:eastAsia="x-none"/>
    </w:rPr>
  </w:style>
  <w:style w:type="paragraph" w:styleId="BodyText2">
    <w:name w:val="Body Text 2"/>
    <w:basedOn w:val="Normal"/>
    <w:link w:val="BodyText2Char"/>
    <w:rsid w:val="00BD7E7D"/>
    <w:pPr>
      <w:spacing w:after="120" w:line="480" w:lineRule="auto"/>
    </w:pPr>
    <w:rPr>
      <w:lang w:eastAsia="x-none"/>
    </w:rPr>
  </w:style>
  <w:style w:type="character" w:customStyle="1" w:styleId="BodyText2Char">
    <w:name w:val="Body Text 2 Char"/>
    <w:basedOn w:val="DefaultParagraphFont"/>
    <w:link w:val="BodyText2"/>
    <w:rsid w:val="00BD7E7D"/>
    <w:rPr>
      <w:rFonts w:ascii="Times New Roman" w:eastAsia="Times New Roman" w:hAnsi="Times New Roman" w:cs="Times New Roman"/>
      <w:sz w:val="24"/>
      <w:szCs w:val="24"/>
      <w:lang w:val="en-GB" w:eastAsia="x-none"/>
    </w:rPr>
  </w:style>
  <w:style w:type="paragraph" w:customStyle="1" w:styleId="Default">
    <w:name w:val="Default"/>
    <w:rsid w:val="00AC3B5A"/>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AC3B5A"/>
    <w:rPr>
      <w:rFonts w:ascii="Arial Narrow" w:eastAsia="Times New Roman" w:hAnsi="Arial Narrow" w:cs="Arial"/>
      <w:b/>
      <w:bCs/>
      <w:iCs/>
      <w:caps/>
      <w:sz w:val="32"/>
      <w:szCs w:val="28"/>
    </w:rPr>
  </w:style>
  <w:style w:type="character" w:styleId="Emphasis">
    <w:name w:val="Emphasis"/>
    <w:basedOn w:val="DefaultParagraphFont"/>
    <w:uiPriority w:val="20"/>
    <w:qFormat/>
    <w:rsid w:val="00EF0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0335">
      <w:bodyDiv w:val="1"/>
      <w:marLeft w:val="0"/>
      <w:marRight w:val="0"/>
      <w:marTop w:val="0"/>
      <w:marBottom w:val="0"/>
      <w:divBdr>
        <w:top w:val="none" w:sz="0" w:space="0" w:color="auto"/>
        <w:left w:val="none" w:sz="0" w:space="0" w:color="auto"/>
        <w:bottom w:val="none" w:sz="0" w:space="0" w:color="auto"/>
        <w:right w:val="none" w:sz="0" w:space="0" w:color="auto"/>
      </w:divBdr>
    </w:div>
    <w:div w:id="732045500">
      <w:bodyDiv w:val="1"/>
      <w:marLeft w:val="0"/>
      <w:marRight w:val="0"/>
      <w:marTop w:val="0"/>
      <w:marBottom w:val="0"/>
      <w:divBdr>
        <w:top w:val="none" w:sz="0" w:space="0" w:color="auto"/>
        <w:left w:val="none" w:sz="0" w:space="0" w:color="auto"/>
        <w:bottom w:val="none" w:sz="0" w:space="0" w:color="auto"/>
        <w:right w:val="none" w:sz="0" w:space="0" w:color="auto"/>
      </w:divBdr>
    </w:div>
    <w:div w:id="809444501">
      <w:bodyDiv w:val="1"/>
      <w:marLeft w:val="0"/>
      <w:marRight w:val="0"/>
      <w:marTop w:val="0"/>
      <w:marBottom w:val="0"/>
      <w:divBdr>
        <w:top w:val="none" w:sz="0" w:space="0" w:color="auto"/>
        <w:left w:val="none" w:sz="0" w:space="0" w:color="auto"/>
        <w:bottom w:val="none" w:sz="0" w:space="0" w:color="auto"/>
        <w:right w:val="none" w:sz="0" w:space="0" w:color="auto"/>
      </w:divBdr>
    </w:div>
    <w:div w:id="1044405110">
      <w:bodyDiv w:val="1"/>
      <w:marLeft w:val="0"/>
      <w:marRight w:val="0"/>
      <w:marTop w:val="0"/>
      <w:marBottom w:val="0"/>
      <w:divBdr>
        <w:top w:val="none" w:sz="0" w:space="0" w:color="auto"/>
        <w:left w:val="none" w:sz="0" w:space="0" w:color="auto"/>
        <w:bottom w:val="none" w:sz="0" w:space="0" w:color="auto"/>
        <w:right w:val="none" w:sz="0" w:space="0" w:color="auto"/>
      </w:divBdr>
    </w:div>
    <w:div w:id="1232230210">
      <w:bodyDiv w:val="1"/>
      <w:marLeft w:val="0"/>
      <w:marRight w:val="0"/>
      <w:marTop w:val="0"/>
      <w:marBottom w:val="0"/>
      <w:divBdr>
        <w:top w:val="none" w:sz="0" w:space="0" w:color="auto"/>
        <w:left w:val="none" w:sz="0" w:space="0" w:color="auto"/>
        <w:bottom w:val="none" w:sz="0" w:space="0" w:color="auto"/>
        <w:right w:val="none" w:sz="0" w:space="0" w:color="auto"/>
      </w:divBdr>
    </w:div>
    <w:div w:id="1359162722">
      <w:bodyDiv w:val="1"/>
      <w:marLeft w:val="0"/>
      <w:marRight w:val="0"/>
      <w:marTop w:val="0"/>
      <w:marBottom w:val="0"/>
      <w:divBdr>
        <w:top w:val="none" w:sz="0" w:space="0" w:color="auto"/>
        <w:left w:val="none" w:sz="0" w:space="0" w:color="auto"/>
        <w:bottom w:val="none" w:sz="0" w:space="0" w:color="auto"/>
        <w:right w:val="none" w:sz="0" w:space="0" w:color="auto"/>
      </w:divBdr>
    </w:div>
    <w:div w:id="1522890460">
      <w:bodyDiv w:val="1"/>
      <w:marLeft w:val="0"/>
      <w:marRight w:val="0"/>
      <w:marTop w:val="0"/>
      <w:marBottom w:val="0"/>
      <w:divBdr>
        <w:top w:val="none" w:sz="0" w:space="0" w:color="auto"/>
        <w:left w:val="none" w:sz="0" w:space="0" w:color="auto"/>
        <w:bottom w:val="none" w:sz="0" w:space="0" w:color="auto"/>
        <w:right w:val="none" w:sz="0" w:space="0" w:color="auto"/>
      </w:divBdr>
    </w:div>
    <w:div w:id="1803420647">
      <w:bodyDiv w:val="1"/>
      <w:marLeft w:val="0"/>
      <w:marRight w:val="0"/>
      <w:marTop w:val="0"/>
      <w:marBottom w:val="0"/>
      <w:divBdr>
        <w:top w:val="none" w:sz="0" w:space="0" w:color="auto"/>
        <w:left w:val="none" w:sz="0" w:space="0" w:color="auto"/>
        <w:bottom w:val="none" w:sz="0" w:space="0" w:color="auto"/>
        <w:right w:val="none" w:sz="0" w:space="0" w:color="auto"/>
      </w:divBdr>
    </w:div>
    <w:div w:id="1891183679">
      <w:bodyDiv w:val="1"/>
      <w:marLeft w:val="0"/>
      <w:marRight w:val="0"/>
      <w:marTop w:val="0"/>
      <w:marBottom w:val="0"/>
      <w:divBdr>
        <w:top w:val="none" w:sz="0" w:space="0" w:color="auto"/>
        <w:left w:val="none" w:sz="0" w:space="0" w:color="auto"/>
        <w:bottom w:val="none" w:sz="0" w:space="0" w:color="auto"/>
        <w:right w:val="none" w:sz="0" w:space="0" w:color="auto"/>
      </w:divBdr>
    </w:div>
    <w:div w:id="1953393678">
      <w:bodyDiv w:val="1"/>
      <w:marLeft w:val="0"/>
      <w:marRight w:val="0"/>
      <w:marTop w:val="0"/>
      <w:marBottom w:val="0"/>
      <w:divBdr>
        <w:top w:val="none" w:sz="0" w:space="0" w:color="auto"/>
        <w:left w:val="none" w:sz="0" w:space="0" w:color="auto"/>
        <w:bottom w:val="none" w:sz="0" w:space="0" w:color="auto"/>
        <w:right w:val="none" w:sz="0" w:space="0" w:color="auto"/>
      </w:divBdr>
    </w:div>
    <w:div w:id="20050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195E-0E36-4AC3-B667-33DDF4B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ArianitD</cp:lastModifiedBy>
  <cp:revision>2</cp:revision>
  <cp:lastPrinted>2015-02-19T08:40:00Z</cp:lastPrinted>
  <dcterms:created xsi:type="dcterms:W3CDTF">2015-09-22T09:29:00Z</dcterms:created>
  <dcterms:modified xsi:type="dcterms:W3CDTF">2015-09-22T09:29:00Z</dcterms:modified>
</cp:coreProperties>
</file>